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jc w:val="center"/>
        <w:rPr>
          <w:b/>
          <w:sz w:val="36"/>
          <w:szCs w:val="36"/>
        </w:rPr>
      </w:pPr>
      <w:r>
        <w:rPr>
          <w:rFonts w:hint="eastAsia"/>
          <w:b/>
          <w:sz w:val="36"/>
          <w:szCs w:val="36"/>
        </w:rPr>
        <w:t>设计总说明</w:t>
      </w:r>
    </w:p>
    <w:p>
      <w:pPr>
        <w:pStyle w:val="4"/>
        <w:keepNext w:val="0"/>
      </w:pPr>
      <w:r>
        <w:rPr>
          <w:rFonts w:hint="eastAsia"/>
        </w:rPr>
        <w:t>1工程概况</w:t>
      </w:r>
    </w:p>
    <w:p>
      <w:pPr>
        <w:pStyle w:val="5"/>
        <w:keepNext w:val="0"/>
      </w:pPr>
      <w:r>
        <w:t>1</w:t>
      </w:r>
      <w:r>
        <w:rPr>
          <w:rFonts w:hint="eastAsia"/>
        </w:rPr>
        <w:t>.1工程概述</w:t>
      </w:r>
    </w:p>
    <w:p>
      <w:pPr>
        <w:spacing w:line="336" w:lineRule="auto"/>
        <w:ind w:firstLine="480"/>
        <w:rPr>
          <w:rFonts w:hint="eastAsia"/>
          <w:lang w:val="en-US" w:eastAsia="zh-CN"/>
        </w:rPr>
      </w:pPr>
      <w:r>
        <w:rPr>
          <w:rFonts w:hint="eastAsia"/>
        </w:rPr>
        <w:t>本工程为</w:t>
      </w:r>
      <w:r>
        <w:rPr>
          <w:rFonts w:hint="eastAsia"/>
          <w:lang w:val="en-US" w:eastAsia="zh-CN"/>
        </w:rPr>
        <w:t>蜀冈冲末段水系整治工程，蜀冈冲干河位于西湖镇的南部，起源于蜀冈村御葬坟组，穿越宁启铁路涵（3.5m×4.0m）向南汇入沿山河，下游与沿山河（桩号4+150）相连，汇水面积2.15km</w:t>
      </w:r>
      <w:r>
        <w:rPr>
          <w:rFonts w:hint="eastAsia"/>
          <w:vertAlign w:val="superscript"/>
          <w:lang w:val="en-US" w:eastAsia="zh-CN"/>
        </w:rPr>
        <w:t>2</w:t>
      </w:r>
      <w:r>
        <w:rPr>
          <w:rFonts w:hint="eastAsia"/>
          <w:lang w:val="en-US" w:eastAsia="zh-CN"/>
        </w:rPr>
        <w:t>。河道现状全长1.98km，河底高程16～7.0m，河底宽3～8m，河口宽6～18m，正常深度2.5m左右，淤积深度在1.0m左右。现状蜀冈冲经十二路以西段均已安排整治，其中邗江中学段已整治完成。作为蜀冈冲排水出口，本工程对蜀冈冲末段进行整治，蜀冈冲末段共计380m，由于铁路以东段230m征地等矛盾较大，本次仅实施铁路以西段150m蜀冈冲干河整治工作。</w:t>
      </w:r>
    </w:p>
    <w:p>
      <w:pPr>
        <w:spacing w:line="336" w:lineRule="auto"/>
        <w:ind w:firstLine="480"/>
        <w:rPr>
          <w:rFonts w:hint="eastAsia"/>
        </w:rPr>
      </w:pPr>
      <w:r>
        <w:rPr>
          <w:rFonts w:hint="eastAsia"/>
        </w:rPr>
        <w:t>本次蜀冈冲末段水系整治工程，按照相关规划安排情况，主要建设内容包括：蜀冈冲干河</w:t>
      </w:r>
      <w:r>
        <w:rPr>
          <w:rFonts w:hint="eastAsia"/>
          <w:lang w:val="en-US" w:eastAsia="zh-CN"/>
        </w:rPr>
        <w:t>铁路以西段</w:t>
      </w:r>
      <w:r>
        <w:rPr>
          <w:rFonts w:hint="eastAsia"/>
        </w:rPr>
        <w:t>整治</w:t>
      </w:r>
      <w:r>
        <w:rPr>
          <w:rFonts w:hint="eastAsia"/>
          <w:lang w:val="en-US" w:eastAsia="zh-CN"/>
        </w:rPr>
        <w:t>150m；新建</w:t>
      </w:r>
      <w:r>
        <w:rPr>
          <w:rFonts w:hint="eastAsia"/>
        </w:rPr>
        <w:t>滚水坝</w:t>
      </w:r>
      <w:r>
        <w:rPr>
          <w:rFonts w:hint="eastAsia"/>
          <w:lang w:val="en-US" w:eastAsia="zh-CN"/>
        </w:rPr>
        <w:t>1</w:t>
      </w:r>
      <w:r>
        <w:rPr>
          <w:rFonts w:hint="eastAsia"/>
        </w:rPr>
        <w:t>座</w:t>
      </w:r>
      <w:r>
        <w:rPr>
          <w:rFonts w:hint="eastAsia"/>
          <w:lang w:val="en-US" w:eastAsia="zh-CN"/>
        </w:rPr>
        <w:t>，埋设</w:t>
      </w:r>
      <w:r>
        <w:rPr>
          <w:rFonts w:hint="eastAsia"/>
        </w:rPr>
        <w:t>DN400PE输水管线</w:t>
      </w:r>
      <w:r>
        <w:rPr>
          <w:rFonts w:hint="eastAsia"/>
          <w:lang w:val="en-US" w:eastAsia="zh-CN"/>
        </w:rPr>
        <w:t>600</w:t>
      </w:r>
      <w:r>
        <w:rPr>
          <w:rFonts w:hint="eastAsia"/>
        </w:rPr>
        <w:t>m</w:t>
      </w:r>
      <w:r>
        <w:rPr>
          <w:rFonts w:hint="eastAsia"/>
          <w:lang w:val="en-US" w:eastAsia="zh-CN"/>
        </w:rPr>
        <w:t>及活水泵站1座等</w:t>
      </w:r>
      <w:r>
        <w:rPr>
          <w:rFonts w:hint="eastAsia"/>
        </w:rPr>
        <w:t>。</w:t>
      </w:r>
    </w:p>
    <w:p>
      <w:pPr>
        <w:spacing w:line="336" w:lineRule="auto"/>
        <w:ind w:firstLine="480"/>
        <w:rPr>
          <w:rFonts w:hint="eastAsia" w:eastAsiaTheme="minorEastAsia"/>
          <w:color w:val="auto"/>
        </w:rPr>
      </w:pPr>
      <w:r>
        <w:rPr>
          <w:rFonts w:hint="eastAsia" w:eastAsiaTheme="minorEastAsia"/>
          <w:color w:val="auto"/>
        </w:rPr>
        <w:t>本施工图所采用高程如无特别说明均为废黄河高程系，坐标均为国家2000坐标系。</w:t>
      </w:r>
    </w:p>
    <w:p>
      <w:pPr>
        <w:pStyle w:val="5"/>
        <w:keepNext w:val="0"/>
      </w:pPr>
      <w:r>
        <w:rPr>
          <w:rFonts w:hint="eastAsia"/>
        </w:rPr>
        <w:t>1.</w:t>
      </w:r>
      <w:r>
        <w:rPr>
          <w:rFonts w:hint="eastAsia"/>
          <w:lang w:val="en-US" w:eastAsia="zh-CN"/>
        </w:rPr>
        <w:t>2</w:t>
      </w:r>
      <w:r>
        <w:rPr>
          <w:rFonts w:hint="eastAsia"/>
        </w:rPr>
        <w:t>工程规模</w:t>
      </w:r>
    </w:p>
    <w:p>
      <w:pPr>
        <w:pStyle w:val="65"/>
        <w:rPr>
          <w:rFonts w:hint="eastAsia"/>
        </w:rPr>
      </w:pPr>
      <w:bookmarkStart w:id="0" w:name="_Hlk533410510"/>
      <w:r>
        <w:rPr>
          <w:rFonts w:hint="eastAsia"/>
        </w:rPr>
        <w:t>本次工程</w:t>
      </w:r>
      <w:r>
        <w:rPr>
          <w:rFonts w:hint="eastAsia"/>
          <w:lang w:val="en-US" w:eastAsia="zh-CN"/>
        </w:rPr>
        <w:t>内容为：蜀冈冲干河整治150m，新建滚水坝1座，埋设DN400PE输水管线600m及活水泵站1座等。</w:t>
      </w:r>
      <w:r>
        <w:rPr>
          <w:rFonts w:hint="eastAsia"/>
        </w:rPr>
        <w:t>具体建设规模如下表：</w:t>
      </w:r>
    </w:p>
    <w:p>
      <w:pPr>
        <w:pStyle w:val="56"/>
        <w:ind w:firstLine="0" w:firstLineChars="0"/>
        <w:jc w:val="center"/>
        <w:rPr>
          <w:b/>
          <w:color w:val="auto"/>
        </w:rPr>
      </w:pPr>
      <w:r>
        <w:rPr>
          <w:rFonts w:hint="eastAsia"/>
          <w:b/>
          <w:color w:val="auto"/>
        </w:rPr>
        <w:t xml:space="preserve">表 </w:t>
      </w:r>
      <w:r>
        <w:rPr>
          <w:b/>
          <w:color w:val="auto"/>
        </w:rPr>
        <w:fldChar w:fldCharType="begin"/>
      </w:r>
      <w:r>
        <w:rPr>
          <w:b/>
          <w:color w:val="auto"/>
        </w:rPr>
        <w:instrText xml:space="preserve"> </w:instrText>
      </w:r>
      <w:r>
        <w:rPr>
          <w:rFonts w:hint="eastAsia"/>
          <w:b/>
          <w:color w:val="auto"/>
        </w:rPr>
        <w:instrText xml:space="preserve">STYLEREF 1 \s</w:instrText>
      </w:r>
      <w:r>
        <w:rPr>
          <w:b/>
          <w:color w:val="auto"/>
        </w:rPr>
        <w:instrText xml:space="preserve"> </w:instrText>
      </w:r>
      <w:r>
        <w:rPr>
          <w:b/>
          <w:color w:val="auto"/>
        </w:rPr>
        <w:fldChar w:fldCharType="separate"/>
      </w:r>
      <w:r>
        <w:rPr>
          <w:b/>
          <w:color w:val="auto"/>
        </w:rPr>
        <w:t>1</w:t>
      </w:r>
      <w:r>
        <w:rPr>
          <w:b/>
          <w:color w:val="auto"/>
        </w:rPr>
        <w:fldChar w:fldCharType="end"/>
      </w:r>
      <w:r>
        <w:rPr>
          <w:b/>
          <w:color w:val="auto"/>
        </w:rPr>
        <w:noBreakHyphen/>
      </w:r>
      <w:r>
        <w:rPr>
          <w:rFonts w:hint="eastAsia"/>
          <w:b/>
          <w:color w:val="auto"/>
          <w:lang w:val="en-US" w:eastAsia="zh-CN"/>
        </w:rPr>
        <w:t>1</w:t>
      </w:r>
      <w:r>
        <w:rPr>
          <w:b/>
          <w:color w:val="auto"/>
        </w:rPr>
        <w:t xml:space="preserve"> </w:t>
      </w:r>
      <w:r>
        <w:rPr>
          <w:rFonts w:hint="eastAsia"/>
          <w:b/>
          <w:color w:val="auto"/>
          <w:lang w:val="en-US" w:eastAsia="zh-CN"/>
        </w:rPr>
        <w:t>工程</w:t>
      </w:r>
      <w:r>
        <w:rPr>
          <w:rFonts w:hint="eastAsia"/>
          <w:b/>
          <w:color w:val="auto"/>
        </w:rPr>
        <w:t>建设规模表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901"/>
        <w:gridCol w:w="1138"/>
        <w:gridCol w:w="2188"/>
        <w:gridCol w:w="2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1" w:type="pct"/>
            <w:vAlign w:val="center"/>
          </w:tcPr>
          <w:p>
            <w:pPr>
              <w:pStyle w:val="67"/>
              <w:rPr>
                <w:rFonts w:hint="default" w:eastAsia="宋体"/>
                <w:lang w:val="en-US" w:eastAsia="zh-CN"/>
              </w:rPr>
            </w:pPr>
            <w:r>
              <w:rPr>
                <w:rFonts w:hint="eastAsia"/>
                <w:lang w:val="en-US" w:eastAsia="zh-CN"/>
              </w:rPr>
              <w:t>类型</w:t>
            </w:r>
          </w:p>
        </w:tc>
        <w:tc>
          <w:tcPr>
            <w:tcW w:w="1014" w:type="pct"/>
            <w:shd w:val="clear" w:color="auto" w:fill="auto"/>
            <w:noWrap/>
            <w:vAlign w:val="center"/>
          </w:tcPr>
          <w:p>
            <w:pPr>
              <w:pStyle w:val="67"/>
              <w:rPr>
                <w:rFonts w:hint="default" w:eastAsia="宋体"/>
                <w:lang w:val="en-US" w:eastAsia="zh-CN"/>
              </w:rPr>
            </w:pPr>
            <w:r>
              <w:rPr>
                <w:rFonts w:hint="eastAsia"/>
                <w:lang w:val="en-US" w:eastAsia="zh-CN"/>
              </w:rPr>
              <w:t>内容</w:t>
            </w:r>
          </w:p>
        </w:tc>
        <w:tc>
          <w:tcPr>
            <w:tcW w:w="607" w:type="pct"/>
            <w:shd w:val="clear" w:color="auto" w:fill="auto"/>
            <w:noWrap/>
            <w:vAlign w:val="center"/>
          </w:tcPr>
          <w:p>
            <w:pPr>
              <w:pStyle w:val="67"/>
            </w:pPr>
            <w:r>
              <w:rPr>
                <w:rFonts w:hint="eastAsia"/>
              </w:rPr>
              <w:t>建设性质</w:t>
            </w:r>
          </w:p>
        </w:tc>
        <w:tc>
          <w:tcPr>
            <w:tcW w:w="1167" w:type="pct"/>
            <w:vAlign w:val="center"/>
          </w:tcPr>
          <w:p>
            <w:pPr>
              <w:pStyle w:val="67"/>
            </w:pPr>
            <w:r>
              <w:rPr>
                <w:rFonts w:hint="eastAsia"/>
              </w:rPr>
              <w:t>功能</w:t>
            </w:r>
          </w:p>
        </w:tc>
        <w:tc>
          <w:tcPr>
            <w:tcW w:w="1540" w:type="pct"/>
            <w:vAlign w:val="center"/>
          </w:tcPr>
          <w:p>
            <w:pPr>
              <w:pStyle w:val="67"/>
            </w:pPr>
            <w:r>
              <w:rPr>
                <w:rFonts w:hint="eastAsia"/>
              </w:rPr>
              <w:t>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pct"/>
            <w:vMerge w:val="restart"/>
            <w:vAlign w:val="center"/>
          </w:tcPr>
          <w:p>
            <w:pPr>
              <w:pStyle w:val="67"/>
              <w:rPr>
                <w:rFonts w:hint="default" w:eastAsia="宋体"/>
                <w:lang w:val="en-US" w:eastAsia="zh-CN"/>
              </w:rPr>
            </w:pPr>
            <w:r>
              <w:rPr>
                <w:rFonts w:hint="eastAsia"/>
                <w:lang w:val="en-US" w:eastAsia="zh-CN"/>
              </w:rPr>
              <w:t>河道工程</w:t>
            </w:r>
          </w:p>
        </w:tc>
        <w:tc>
          <w:tcPr>
            <w:tcW w:w="1014" w:type="pct"/>
            <w:shd w:val="clear" w:color="auto" w:fill="auto"/>
            <w:noWrap/>
            <w:vAlign w:val="center"/>
          </w:tcPr>
          <w:p>
            <w:pPr>
              <w:pStyle w:val="67"/>
              <w:rPr>
                <w:rFonts w:hint="default" w:eastAsia="宋体"/>
                <w:lang w:val="en-US" w:eastAsia="zh-CN"/>
              </w:rPr>
            </w:pPr>
            <w:r>
              <w:rPr>
                <w:rFonts w:hint="eastAsia"/>
                <w:lang w:val="en-US" w:eastAsia="zh-CN"/>
              </w:rPr>
              <w:t>铁路以西段</w:t>
            </w:r>
          </w:p>
        </w:tc>
        <w:tc>
          <w:tcPr>
            <w:tcW w:w="607" w:type="pct"/>
            <w:shd w:val="clear" w:color="auto" w:fill="auto"/>
            <w:noWrap/>
            <w:vAlign w:val="center"/>
          </w:tcPr>
          <w:p>
            <w:pPr>
              <w:pStyle w:val="67"/>
              <w:rPr>
                <w:rFonts w:hint="eastAsia" w:eastAsia="宋体"/>
                <w:lang w:eastAsia="zh-CN"/>
              </w:rPr>
            </w:pPr>
            <w:r>
              <w:rPr>
                <w:rFonts w:hint="eastAsia"/>
                <w:lang w:val="en-US" w:eastAsia="zh-CN"/>
              </w:rPr>
              <w:t>新开</w:t>
            </w:r>
          </w:p>
        </w:tc>
        <w:tc>
          <w:tcPr>
            <w:tcW w:w="1167" w:type="pct"/>
            <w:vAlign w:val="center"/>
          </w:tcPr>
          <w:p>
            <w:pPr>
              <w:pStyle w:val="67"/>
              <w:rPr>
                <w:rFonts w:hint="default" w:eastAsia="宋体"/>
                <w:lang w:val="en-US" w:eastAsia="zh-CN"/>
              </w:rPr>
            </w:pPr>
            <w:r>
              <w:rPr>
                <w:rFonts w:hint="eastAsia"/>
                <w:lang w:val="en-US" w:eastAsia="zh-CN"/>
              </w:rPr>
              <w:t>行</w:t>
            </w:r>
            <w:r>
              <w:rPr>
                <w:rFonts w:hint="eastAsia"/>
              </w:rPr>
              <w:t>洪、</w:t>
            </w:r>
            <w:r>
              <w:rPr>
                <w:rFonts w:hint="eastAsia"/>
                <w:lang w:val="en-US" w:eastAsia="zh-CN"/>
              </w:rPr>
              <w:t>景观河道</w:t>
            </w:r>
          </w:p>
        </w:tc>
        <w:tc>
          <w:tcPr>
            <w:tcW w:w="1540" w:type="pct"/>
            <w:vAlign w:val="center"/>
          </w:tcPr>
          <w:p>
            <w:pPr>
              <w:pStyle w:val="67"/>
              <w:rPr>
                <w:rFonts w:hint="default" w:eastAsia="宋体"/>
                <w:lang w:val="en-US" w:eastAsia="zh-CN"/>
              </w:rPr>
            </w:pPr>
            <w:r>
              <w:rPr>
                <w:rFonts w:hint="eastAsia"/>
                <w:lang w:val="en-US" w:eastAsia="zh-CN"/>
              </w:rPr>
              <w:t>干河长度150m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pct"/>
            <w:vMerge w:val="continue"/>
            <w:vAlign w:val="center"/>
          </w:tcPr>
          <w:p>
            <w:pPr>
              <w:pStyle w:val="67"/>
            </w:pPr>
          </w:p>
        </w:tc>
        <w:tc>
          <w:tcPr>
            <w:tcW w:w="1014" w:type="pct"/>
            <w:shd w:val="clear" w:color="auto" w:fill="auto"/>
            <w:noWrap/>
            <w:vAlign w:val="center"/>
          </w:tcPr>
          <w:p>
            <w:pPr>
              <w:pStyle w:val="67"/>
              <w:rPr>
                <w:rFonts w:hint="eastAsia" w:eastAsia="宋体"/>
                <w:lang w:eastAsia="zh-CN"/>
              </w:rPr>
            </w:pPr>
            <w:r>
              <w:rPr>
                <w:rFonts w:hint="eastAsia"/>
                <w:lang w:val="en-US" w:eastAsia="zh-CN"/>
              </w:rPr>
              <w:t>铁路以东段</w:t>
            </w:r>
          </w:p>
        </w:tc>
        <w:tc>
          <w:tcPr>
            <w:tcW w:w="607" w:type="pct"/>
            <w:shd w:val="clear" w:color="auto" w:fill="auto"/>
            <w:noWrap/>
            <w:vAlign w:val="center"/>
          </w:tcPr>
          <w:p>
            <w:pPr>
              <w:pStyle w:val="67"/>
              <w:rPr>
                <w:rFonts w:hint="default"/>
                <w:lang w:val="en-US"/>
              </w:rPr>
            </w:pPr>
            <w:r>
              <w:rPr>
                <w:rFonts w:hint="eastAsia"/>
                <w:lang w:val="en-US" w:eastAsia="zh-CN"/>
              </w:rPr>
              <w:t>维持现状</w:t>
            </w:r>
          </w:p>
        </w:tc>
        <w:tc>
          <w:tcPr>
            <w:tcW w:w="1167" w:type="pct"/>
            <w:vAlign w:val="center"/>
          </w:tcPr>
          <w:p>
            <w:pPr>
              <w:pStyle w:val="67"/>
            </w:pPr>
            <w:r>
              <w:rPr>
                <w:rFonts w:hint="eastAsia"/>
                <w:lang w:val="en-US" w:eastAsia="zh-CN"/>
              </w:rPr>
              <w:t>行</w:t>
            </w:r>
            <w:r>
              <w:rPr>
                <w:rFonts w:hint="eastAsia"/>
              </w:rPr>
              <w:t>洪</w:t>
            </w:r>
          </w:p>
        </w:tc>
        <w:tc>
          <w:tcPr>
            <w:tcW w:w="1540" w:type="pct"/>
            <w:vAlign w:val="center"/>
          </w:tcPr>
          <w:p>
            <w:pPr>
              <w:pStyle w:val="67"/>
            </w:pPr>
            <w:r>
              <w:rPr>
                <w:rFonts w:hint="eastAsia"/>
                <w:highlight w:val="none"/>
                <w:lang w:val="en-US" w:eastAsia="zh-CN"/>
              </w:rPr>
              <w:t>干河长度230m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pct"/>
            <w:vMerge w:val="restart"/>
            <w:vAlign w:val="center"/>
          </w:tcPr>
          <w:p>
            <w:pPr>
              <w:pStyle w:val="67"/>
              <w:rPr>
                <w:rFonts w:hint="eastAsia"/>
                <w:lang w:val="en-US" w:eastAsia="zh-CN"/>
              </w:rPr>
            </w:pPr>
            <w:r>
              <w:rPr>
                <w:rFonts w:hint="eastAsia"/>
                <w:lang w:val="en-US" w:eastAsia="zh-CN"/>
              </w:rPr>
              <w:t>建筑物</w:t>
            </w:r>
          </w:p>
          <w:p>
            <w:pPr>
              <w:pStyle w:val="67"/>
              <w:rPr>
                <w:rFonts w:hint="default" w:eastAsia="宋体"/>
                <w:lang w:val="en-US" w:eastAsia="zh-CN"/>
              </w:rPr>
            </w:pPr>
            <w:r>
              <w:rPr>
                <w:rFonts w:hint="eastAsia"/>
                <w:lang w:val="en-US" w:eastAsia="zh-CN"/>
              </w:rPr>
              <w:t>工程</w:t>
            </w:r>
          </w:p>
        </w:tc>
        <w:tc>
          <w:tcPr>
            <w:tcW w:w="1014" w:type="pct"/>
            <w:shd w:val="clear" w:color="auto" w:fill="auto"/>
            <w:noWrap/>
            <w:vAlign w:val="center"/>
          </w:tcPr>
          <w:p>
            <w:pPr>
              <w:widowControl/>
              <w:spacing w:line="240" w:lineRule="auto"/>
              <w:ind w:firstLine="0" w:firstLineChars="0"/>
              <w:jc w:val="center"/>
              <w:rPr>
                <w:rFonts w:hint="default"/>
                <w:lang w:val="en-US"/>
              </w:rPr>
            </w:pPr>
            <w:r>
              <w:rPr>
                <w:rFonts w:hint="eastAsia"/>
                <w:color w:val="000000"/>
                <w:sz w:val="21"/>
                <w:szCs w:val="21"/>
                <w:lang w:val="en-US" w:eastAsia="zh-CN"/>
              </w:rPr>
              <w:t>活水泵站</w:t>
            </w:r>
          </w:p>
        </w:tc>
        <w:tc>
          <w:tcPr>
            <w:tcW w:w="607" w:type="pct"/>
            <w:shd w:val="clear" w:color="auto" w:fill="auto"/>
            <w:noWrap/>
            <w:vAlign w:val="center"/>
          </w:tcPr>
          <w:p>
            <w:pPr>
              <w:pStyle w:val="67"/>
              <w:rPr>
                <w:rFonts w:hint="eastAsia" w:eastAsia="宋体"/>
                <w:lang w:val="en-US" w:eastAsia="zh-CN"/>
              </w:rPr>
            </w:pPr>
            <w:r>
              <w:rPr>
                <w:rFonts w:hint="eastAsia"/>
                <w:lang w:val="en-US" w:eastAsia="zh-CN"/>
              </w:rPr>
              <w:t>改造</w:t>
            </w:r>
          </w:p>
        </w:tc>
        <w:tc>
          <w:tcPr>
            <w:tcW w:w="1167" w:type="pct"/>
            <w:vAlign w:val="center"/>
          </w:tcPr>
          <w:p>
            <w:pPr>
              <w:widowControl/>
              <w:spacing w:line="240" w:lineRule="auto"/>
              <w:ind w:firstLine="0" w:firstLineChars="0"/>
              <w:jc w:val="center"/>
              <w:rPr>
                <w:rFonts w:hint="eastAsia"/>
              </w:rPr>
            </w:pPr>
            <w:r>
              <w:rPr>
                <w:rFonts w:hint="eastAsia"/>
                <w:color w:val="000000"/>
                <w:sz w:val="21"/>
                <w:szCs w:val="21"/>
                <w:lang w:val="en-US" w:eastAsia="zh-CN"/>
              </w:rPr>
              <w:t>保水、行洪</w:t>
            </w:r>
          </w:p>
        </w:tc>
        <w:tc>
          <w:tcPr>
            <w:tcW w:w="1540" w:type="pct"/>
            <w:vAlign w:val="center"/>
          </w:tcPr>
          <w:p>
            <w:pPr>
              <w:pStyle w:val="67"/>
              <w:ind w:left="0" w:leftChars="0" w:firstLine="0" w:firstLineChars="0"/>
              <w:rPr>
                <w:rFonts w:hint="default" w:eastAsia="宋体"/>
                <w:lang w:val="en-US" w:eastAsia="zh-CN"/>
              </w:rPr>
            </w:pPr>
            <w:r>
              <w:rPr>
                <w:rFonts w:hint="eastAsia"/>
                <w:lang w:val="en-US" w:eastAsia="zh-CN"/>
              </w:rPr>
              <w:t>0.12m3/s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pct"/>
            <w:vMerge w:val="continue"/>
            <w:vAlign w:val="center"/>
          </w:tcPr>
          <w:p>
            <w:pPr>
              <w:pStyle w:val="67"/>
            </w:pPr>
          </w:p>
        </w:tc>
        <w:tc>
          <w:tcPr>
            <w:tcW w:w="1014" w:type="pct"/>
            <w:shd w:val="clear" w:color="auto" w:fill="auto"/>
            <w:noWrap/>
            <w:vAlign w:val="center"/>
          </w:tcPr>
          <w:p>
            <w:pPr>
              <w:widowControl/>
              <w:spacing w:line="240" w:lineRule="auto"/>
              <w:ind w:firstLine="0" w:firstLineChars="0"/>
              <w:jc w:val="center"/>
              <w:rPr>
                <w:rFonts w:hint="eastAsia"/>
              </w:rPr>
            </w:pPr>
            <w:r>
              <w:rPr>
                <w:rFonts w:hint="eastAsia"/>
                <w:color w:val="000000"/>
                <w:sz w:val="21"/>
                <w:szCs w:val="21"/>
                <w:lang w:val="en-US" w:eastAsia="zh-CN"/>
              </w:rPr>
              <w:t>新建滚水坝</w:t>
            </w:r>
          </w:p>
        </w:tc>
        <w:tc>
          <w:tcPr>
            <w:tcW w:w="607" w:type="pct"/>
            <w:shd w:val="clear" w:color="auto" w:fill="auto"/>
            <w:noWrap/>
            <w:vAlign w:val="center"/>
          </w:tcPr>
          <w:p>
            <w:pPr>
              <w:pStyle w:val="67"/>
              <w:ind w:left="0" w:leftChars="0" w:firstLine="0" w:firstLineChars="0"/>
              <w:rPr>
                <w:rFonts w:hint="eastAsia"/>
              </w:rPr>
            </w:pPr>
            <w:r>
              <w:rPr>
                <w:rFonts w:hint="eastAsia"/>
                <w:lang w:val="en-US" w:eastAsia="zh-CN"/>
              </w:rPr>
              <w:t>新建</w:t>
            </w:r>
          </w:p>
        </w:tc>
        <w:tc>
          <w:tcPr>
            <w:tcW w:w="1167" w:type="pct"/>
            <w:vAlign w:val="center"/>
          </w:tcPr>
          <w:p>
            <w:pPr>
              <w:widowControl/>
              <w:spacing w:line="240" w:lineRule="auto"/>
              <w:ind w:firstLine="0" w:firstLineChars="0"/>
              <w:jc w:val="center"/>
              <w:rPr>
                <w:rFonts w:hint="eastAsia"/>
              </w:rPr>
            </w:pPr>
            <w:r>
              <w:rPr>
                <w:rFonts w:hint="eastAsia"/>
                <w:color w:val="000000"/>
                <w:sz w:val="21"/>
                <w:szCs w:val="21"/>
                <w:lang w:val="en-US" w:eastAsia="zh-CN"/>
              </w:rPr>
              <w:t>保水、行洪</w:t>
            </w:r>
          </w:p>
        </w:tc>
        <w:tc>
          <w:tcPr>
            <w:tcW w:w="1540" w:type="pct"/>
            <w:vAlign w:val="center"/>
          </w:tcPr>
          <w:p>
            <w:pPr>
              <w:pStyle w:val="67"/>
              <w:ind w:left="0" w:leftChars="0" w:firstLine="0" w:firstLineChars="0"/>
              <w:rPr>
                <w:rFonts w:hint="eastAsia"/>
              </w:rPr>
            </w:pPr>
            <w:r>
              <w:rPr>
                <w:rFonts w:hint="eastAsia"/>
                <w:lang w:val="en-US" w:eastAsia="zh-CN"/>
              </w:rPr>
              <w:t>顶宽13m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pct"/>
            <w:vMerge w:val="continue"/>
            <w:vAlign w:val="center"/>
          </w:tcPr>
          <w:p>
            <w:pPr>
              <w:pStyle w:val="67"/>
            </w:pPr>
          </w:p>
        </w:tc>
        <w:tc>
          <w:tcPr>
            <w:tcW w:w="1014" w:type="pct"/>
            <w:shd w:val="clear" w:color="auto" w:fill="auto"/>
            <w:noWrap/>
            <w:vAlign w:val="center"/>
          </w:tcPr>
          <w:p>
            <w:pPr>
              <w:widowControl/>
              <w:spacing w:line="240" w:lineRule="auto"/>
              <w:ind w:firstLine="0" w:firstLineChars="0"/>
              <w:jc w:val="center"/>
              <w:rPr>
                <w:rFonts w:hint="default"/>
                <w:lang w:val="en-US"/>
              </w:rPr>
            </w:pPr>
            <w:r>
              <w:rPr>
                <w:rFonts w:hint="eastAsia"/>
                <w:color w:val="000000"/>
                <w:sz w:val="21"/>
                <w:szCs w:val="21"/>
                <w:lang w:val="en-US" w:eastAsia="zh-CN"/>
              </w:rPr>
              <w:t>输水管线埋设</w:t>
            </w:r>
          </w:p>
        </w:tc>
        <w:tc>
          <w:tcPr>
            <w:tcW w:w="607" w:type="pct"/>
            <w:shd w:val="clear" w:color="auto" w:fill="auto"/>
            <w:noWrap/>
            <w:vAlign w:val="center"/>
          </w:tcPr>
          <w:p>
            <w:pPr>
              <w:pStyle w:val="67"/>
              <w:ind w:left="0" w:leftChars="0" w:firstLine="0" w:firstLineChars="0"/>
              <w:rPr>
                <w:rFonts w:hint="eastAsia"/>
              </w:rPr>
            </w:pPr>
            <w:r>
              <w:rPr>
                <w:rFonts w:hint="eastAsia"/>
                <w:lang w:val="en-US" w:eastAsia="zh-CN"/>
              </w:rPr>
              <w:t>新建</w:t>
            </w:r>
          </w:p>
        </w:tc>
        <w:tc>
          <w:tcPr>
            <w:tcW w:w="1167" w:type="pct"/>
            <w:vAlign w:val="center"/>
          </w:tcPr>
          <w:p>
            <w:pPr>
              <w:widowControl/>
              <w:spacing w:line="240" w:lineRule="auto"/>
              <w:ind w:firstLine="0" w:firstLineChars="0"/>
              <w:jc w:val="center"/>
              <w:rPr>
                <w:rFonts w:hint="eastAsia"/>
              </w:rPr>
            </w:pPr>
            <w:r>
              <w:rPr>
                <w:rFonts w:hint="eastAsia"/>
                <w:color w:val="000000"/>
                <w:sz w:val="21"/>
                <w:szCs w:val="21"/>
                <w:lang w:val="en-US" w:eastAsia="zh-CN"/>
              </w:rPr>
              <w:t>输水</w:t>
            </w:r>
          </w:p>
        </w:tc>
        <w:tc>
          <w:tcPr>
            <w:tcW w:w="1540" w:type="pct"/>
            <w:vAlign w:val="center"/>
          </w:tcPr>
          <w:p>
            <w:pPr>
              <w:pStyle w:val="67"/>
              <w:ind w:left="0" w:leftChars="0" w:firstLine="0" w:firstLineChars="0"/>
              <w:rPr>
                <w:rFonts w:hint="default"/>
                <w:lang w:val="en-US"/>
              </w:rPr>
            </w:pPr>
            <w:r>
              <w:rPr>
                <w:rFonts w:hint="eastAsia"/>
                <w:lang w:val="en-US" w:eastAsia="zh-CN"/>
              </w:rPr>
              <w:t>DN400</w:t>
            </w:r>
          </w:p>
        </w:tc>
      </w:tr>
      <w:bookmarkEnd w:id="0"/>
    </w:tbl>
    <w:p>
      <w:pPr>
        <w:pStyle w:val="4"/>
        <w:keepNext w:val="0"/>
        <w:rPr>
          <w:rFonts w:hint="eastAsia" w:eastAsia="宋体"/>
          <w:lang w:val="en-US" w:eastAsia="zh-CN"/>
        </w:rPr>
      </w:pPr>
      <w:r>
        <w:rPr>
          <w:rFonts w:hint="eastAsia"/>
        </w:rPr>
        <w:t>2设计</w:t>
      </w:r>
      <w:r>
        <w:rPr>
          <w:rFonts w:hint="eastAsia"/>
          <w:lang w:val="en-US" w:eastAsia="zh-CN"/>
        </w:rPr>
        <w:t>依据</w:t>
      </w:r>
    </w:p>
    <w:p>
      <w:pPr>
        <w:pStyle w:val="5"/>
        <w:keepNext w:val="0"/>
      </w:pPr>
      <w:r>
        <w:rPr>
          <w:rFonts w:hint="eastAsia"/>
        </w:rPr>
        <w:t>2.1相关规范、规程</w:t>
      </w:r>
    </w:p>
    <w:p>
      <w:pPr>
        <w:spacing w:line="360" w:lineRule="auto"/>
        <w:ind w:firstLine="480"/>
        <w:rPr>
          <w:rFonts w:hint="eastAsia" w:ascii="Times New Roman" w:hAnsi="Times New Roman" w:cs="Times New Roman"/>
          <w:sz w:val="24"/>
          <w:szCs w:val="22"/>
        </w:rPr>
      </w:pPr>
      <w:r>
        <w:rPr>
          <w:rFonts w:hint="eastAsia" w:ascii="Times New Roman" w:hAnsi="Times New Roman" w:cs="Times New Roman"/>
          <w:sz w:val="24"/>
          <w:szCs w:val="22"/>
        </w:rPr>
        <w:t>1、《水利水电工程等级划分及洪水标准》（SL252-2017）</w:t>
      </w:r>
    </w:p>
    <w:p>
      <w:pPr>
        <w:spacing w:line="360" w:lineRule="auto"/>
        <w:ind w:firstLine="480"/>
        <w:rPr>
          <w:rFonts w:hint="eastAsia" w:ascii="Times New Roman" w:hAnsi="Times New Roman" w:cs="Times New Roman"/>
          <w:sz w:val="24"/>
          <w:szCs w:val="22"/>
        </w:rPr>
      </w:pPr>
      <w:r>
        <w:rPr>
          <w:rFonts w:hint="eastAsia" w:ascii="Times New Roman" w:hAnsi="Times New Roman" w:cs="Times New Roman"/>
          <w:sz w:val="24"/>
          <w:szCs w:val="22"/>
        </w:rPr>
        <w:t>2、《水利工程建设标准强制性条文》（2020版）</w:t>
      </w:r>
    </w:p>
    <w:p>
      <w:pPr>
        <w:spacing w:line="360" w:lineRule="auto"/>
        <w:ind w:firstLine="480"/>
        <w:rPr>
          <w:rFonts w:hint="eastAsia" w:ascii="Times New Roman" w:hAnsi="Times New Roman" w:cs="Times New Roman"/>
          <w:sz w:val="24"/>
          <w:szCs w:val="22"/>
        </w:rPr>
      </w:pPr>
      <w:r>
        <w:rPr>
          <w:rFonts w:hint="eastAsia" w:ascii="Times New Roman" w:hAnsi="Times New Roman" w:cs="Times New Roman"/>
          <w:sz w:val="24"/>
          <w:szCs w:val="22"/>
        </w:rPr>
        <w:t>3、《防洪标准》（GB50201-2014）</w:t>
      </w:r>
    </w:p>
    <w:p>
      <w:pPr>
        <w:spacing w:line="360" w:lineRule="auto"/>
        <w:ind w:firstLine="480"/>
        <w:rPr>
          <w:rFonts w:hint="eastAsia" w:ascii="Times New Roman" w:hAnsi="Times New Roman" w:cs="Times New Roman"/>
          <w:sz w:val="24"/>
          <w:szCs w:val="22"/>
        </w:rPr>
      </w:pPr>
      <w:r>
        <w:rPr>
          <w:rFonts w:hint="eastAsia" w:ascii="Times New Roman" w:hAnsi="Times New Roman" w:cs="Times New Roman"/>
          <w:sz w:val="24"/>
          <w:szCs w:val="22"/>
        </w:rPr>
        <w:t>4、《治涝标准》（SL723-2016）</w:t>
      </w:r>
    </w:p>
    <w:p>
      <w:pPr>
        <w:spacing w:line="360" w:lineRule="auto"/>
        <w:ind w:firstLine="480"/>
        <w:rPr>
          <w:rFonts w:hint="eastAsia" w:eastAsia="宋体"/>
          <w:sz w:val="24"/>
          <w:szCs w:val="24"/>
          <w:lang w:val="en-US" w:eastAsia="zh-CN"/>
        </w:rPr>
      </w:pPr>
      <w:r>
        <w:rPr>
          <w:rFonts w:hint="eastAsia"/>
          <w:sz w:val="24"/>
          <w:szCs w:val="24"/>
          <w:lang w:val="en-US" w:eastAsia="zh-CN"/>
        </w:rPr>
        <w:t>5</w:t>
      </w:r>
      <w:r>
        <w:rPr>
          <w:rFonts w:hint="eastAsia"/>
          <w:sz w:val="24"/>
          <w:szCs w:val="24"/>
        </w:rPr>
        <w:t>、《水利工程施工图设计文件编制规范》（DB32/T 3260-2017）</w:t>
      </w:r>
      <w:r>
        <w:rPr>
          <w:rFonts w:hint="eastAsia"/>
          <w:sz w:val="24"/>
          <w:szCs w:val="24"/>
          <w:lang w:eastAsia="zh-CN"/>
        </w:rPr>
        <w:t>；</w:t>
      </w:r>
    </w:p>
    <w:p>
      <w:pPr>
        <w:spacing w:line="360" w:lineRule="auto"/>
        <w:ind w:firstLine="480"/>
        <w:rPr>
          <w:rFonts w:hint="eastAsia" w:eastAsia="宋体"/>
          <w:sz w:val="24"/>
          <w:szCs w:val="24"/>
          <w:lang w:eastAsia="zh-CN"/>
        </w:rPr>
      </w:pPr>
      <w:r>
        <w:rPr>
          <w:rFonts w:hint="eastAsia"/>
          <w:sz w:val="24"/>
          <w:szCs w:val="24"/>
          <w:lang w:val="en-US" w:eastAsia="zh-CN"/>
        </w:rPr>
        <w:t>6</w:t>
      </w:r>
      <w:r>
        <w:rPr>
          <w:rFonts w:hint="eastAsia"/>
          <w:sz w:val="24"/>
          <w:szCs w:val="24"/>
        </w:rPr>
        <w:t>、</w:t>
      </w:r>
      <w:r>
        <w:rPr>
          <w:rFonts w:hint="eastAsia"/>
          <w:sz w:val="24"/>
        </w:rPr>
        <w:t>《水工混凝土结构设计规范》(SL191-2008)</w:t>
      </w:r>
      <w:r>
        <w:rPr>
          <w:rFonts w:hint="eastAsia"/>
          <w:sz w:val="24"/>
          <w:lang w:eastAsia="zh-CN"/>
        </w:rPr>
        <w:t>；</w:t>
      </w:r>
    </w:p>
    <w:p>
      <w:pPr>
        <w:spacing w:line="360" w:lineRule="auto"/>
        <w:ind w:firstLine="480"/>
        <w:rPr>
          <w:rFonts w:hint="eastAsia" w:ascii="Times New Roman" w:hAnsi="Times New Roman" w:cs="Times New Roman"/>
          <w:sz w:val="24"/>
          <w:szCs w:val="22"/>
        </w:rPr>
      </w:pPr>
      <w:r>
        <w:rPr>
          <w:rFonts w:hint="eastAsia" w:cs="Times New Roman"/>
          <w:sz w:val="24"/>
          <w:szCs w:val="22"/>
          <w:lang w:val="en-US" w:eastAsia="zh-CN"/>
        </w:rPr>
        <w:t>7</w:t>
      </w:r>
      <w:r>
        <w:rPr>
          <w:rFonts w:hint="eastAsia" w:ascii="Times New Roman" w:hAnsi="Times New Roman" w:cs="Times New Roman"/>
          <w:sz w:val="24"/>
          <w:szCs w:val="22"/>
          <w:lang w:val="en-US" w:eastAsia="zh-CN"/>
        </w:rPr>
        <w:t>、</w:t>
      </w:r>
      <w:r>
        <w:rPr>
          <w:rFonts w:hint="eastAsia" w:ascii="Times New Roman" w:hAnsi="Times New Roman" w:cs="Times New Roman"/>
          <w:sz w:val="24"/>
          <w:szCs w:val="22"/>
        </w:rPr>
        <w:t>《混凝土结构耐久性设计规范》（GB/T 50476-2008）；</w:t>
      </w:r>
    </w:p>
    <w:p>
      <w:pPr>
        <w:spacing w:line="360" w:lineRule="auto"/>
        <w:ind w:firstLine="480"/>
        <w:rPr>
          <w:rFonts w:hint="eastAsia" w:ascii="Times New Roman" w:hAnsi="Times New Roman" w:cs="Times New Roman"/>
          <w:sz w:val="24"/>
          <w:szCs w:val="22"/>
        </w:rPr>
      </w:pPr>
      <w:r>
        <w:rPr>
          <w:rFonts w:hint="eastAsia" w:cs="Times New Roman"/>
          <w:sz w:val="24"/>
          <w:szCs w:val="22"/>
          <w:lang w:val="en-US" w:eastAsia="zh-CN"/>
        </w:rPr>
        <w:t>8</w:t>
      </w:r>
      <w:r>
        <w:rPr>
          <w:rFonts w:hint="eastAsia" w:ascii="Times New Roman" w:hAnsi="Times New Roman" w:cs="Times New Roman"/>
          <w:sz w:val="24"/>
          <w:szCs w:val="22"/>
          <w:lang w:val="en-US" w:eastAsia="zh-CN"/>
        </w:rPr>
        <w:t>、</w:t>
      </w:r>
      <w:r>
        <w:rPr>
          <w:rFonts w:hint="eastAsia" w:ascii="Times New Roman" w:hAnsi="Times New Roman" w:cs="Times New Roman"/>
          <w:sz w:val="24"/>
          <w:szCs w:val="22"/>
        </w:rPr>
        <w:fldChar w:fldCharType="begin"/>
      </w:r>
      <w:r>
        <w:rPr>
          <w:rFonts w:hint="eastAsia" w:ascii="Times New Roman" w:hAnsi="Times New Roman" w:cs="Times New Roman"/>
          <w:sz w:val="24"/>
          <w:szCs w:val="22"/>
        </w:rPr>
        <w:instrText xml:space="preserve"> HYPERLINK "http://www.baidu.com/link?url=aqTQAXfQDgL8fp4S62pY12tzdyeArX7lARXQ-b97EHqKjn96dBsGsHhQOeLNKQctjyonHG1Q9wEIyj6bD2OVYX6hhq--t_0EOx9A5-mNH1a" \t "_blank" </w:instrText>
      </w:r>
      <w:r>
        <w:rPr>
          <w:rFonts w:hint="eastAsia" w:ascii="Times New Roman" w:hAnsi="Times New Roman" w:cs="Times New Roman"/>
          <w:sz w:val="24"/>
          <w:szCs w:val="22"/>
        </w:rPr>
        <w:fldChar w:fldCharType="separate"/>
      </w:r>
      <w:r>
        <w:rPr>
          <w:rFonts w:hint="eastAsia" w:ascii="Times New Roman" w:hAnsi="Times New Roman" w:cs="Times New Roman"/>
          <w:sz w:val="24"/>
          <w:szCs w:val="22"/>
        </w:rPr>
        <w:t>《水工挡土墙设计规范</w:t>
      </w:r>
      <w:r>
        <w:rPr>
          <w:rFonts w:hint="eastAsia" w:ascii="Times New Roman" w:hAnsi="Times New Roman" w:cs="Times New Roman"/>
          <w:sz w:val="24"/>
          <w:szCs w:val="22"/>
        </w:rPr>
        <w:fldChar w:fldCharType="end"/>
      </w:r>
      <w:r>
        <w:rPr>
          <w:rFonts w:hint="eastAsia" w:ascii="Times New Roman" w:hAnsi="Times New Roman" w:cs="Times New Roman"/>
          <w:sz w:val="24"/>
          <w:szCs w:val="22"/>
        </w:rPr>
        <w:t>》（SL 379-2007）；</w:t>
      </w:r>
    </w:p>
    <w:p>
      <w:pPr>
        <w:spacing w:line="360" w:lineRule="auto"/>
        <w:ind w:firstLine="480"/>
        <w:rPr>
          <w:rFonts w:hint="eastAsia" w:ascii="Times New Roman" w:hAnsi="Times New Roman" w:cs="Times New Roman"/>
          <w:sz w:val="24"/>
          <w:szCs w:val="22"/>
        </w:rPr>
      </w:pPr>
      <w:r>
        <w:rPr>
          <w:rFonts w:hint="eastAsia" w:cs="Times New Roman"/>
          <w:sz w:val="24"/>
          <w:szCs w:val="22"/>
          <w:lang w:val="en-US" w:eastAsia="zh-CN"/>
        </w:rPr>
        <w:t>9</w:t>
      </w:r>
      <w:r>
        <w:rPr>
          <w:rFonts w:hint="eastAsia" w:ascii="Times New Roman" w:hAnsi="Times New Roman" w:cs="Times New Roman"/>
          <w:sz w:val="24"/>
          <w:szCs w:val="22"/>
        </w:rPr>
        <w:t>、《水利水电工程围堰设计规范》（</w:t>
      </w:r>
      <w:r>
        <w:rPr>
          <w:rFonts w:hint="eastAsia" w:ascii="Times New Roman" w:hAnsi="Times New Roman" w:cs="Times New Roman"/>
          <w:sz w:val="24"/>
          <w:szCs w:val="22"/>
        </w:rPr>
        <w:fldChar w:fldCharType="begin"/>
      </w:r>
      <w:r>
        <w:rPr>
          <w:rFonts w:hint="eastAsia" w:ascii="Times New Roman" w:hAnsi="Times New Roman" w:cs="Times New Roman"/>
          <w:sz w:val="24"/>
          <w:szCs w:val="22"/>
        </w:rPr>
        <w:instrText xml:space="preserve"> HYPERLINK "https://www.baidu.com/link?url=ZK3ypMSSG_PYW-MLR-0Nbz4nVthpM5L2_wIcYXK8PQGpREhAyI4PBEkli1yv7tL1GOwZl-r9rQHCdxfe68dTFK&amp;wd=&amp;eqid=bbe064c6000068a3000000055bc43851" \t "_blank" </w:instrText>
      </w:r>
      <w:r>
        <w:rPr>
          <w:rFonts w:hint="eastAsia" w:ascii="Times New Roman" w:hAnsi="Times New Roman" w:cs="Times New Roman"/>
          <w:sz w:val="24"/>
          <w:szCs w:val="22"/>
        </w:rPr>
        <w:fldChar w:fldCharType="separate"/>
      </w:r>
      <w:r>
        <w:rPr>
          <w:rFonts w:hint="eastAsia" w:ascii="Times New Roman" w:hAnsi="Times New Roman" w:cs="Times New Roman"/>
          <w:sz w:val="24"/>
          <w:szCs w:val="22"/>
        </w:rPr>
        <w:t>SL 645-2013</w:t>
      </w:r>
      <w:r>
        <w:rPr>
          <w:rFonts w:hint="eastAsia" w:ascii="Times New Roman" w:hAnsi="Times New Roman" w:cs="Times New Roman"/>
          <w:sz w:val="24"/>
          <w:szCs w:val="22"/>
        </w:rPr>
        <w:fldChar w:fldCharType="end"/>
      </w:r>
      <w:r>
        <w:rPr>
          <w:rFonts w:hint="eastAsia" w:ascii="Times New Roman" w:hAnsi="Times New Roman" w:cs="Times New Roman"/>
          <w:sz w:val="24"/>
          <w:szCs w:val="22"/>
        </w:rPr>
        <w:t>）；</w:t>
      </w:r>
    </w:p>
    <w:p>
      <w:pPr>
        <w:spacing w:line="360" w:lineRule="auto"/>
        <w:ind w:firstLine="480"/>
        <w:rPr>
          <w:rFonts w:hint="eastAsia" w:ascii="Times New Roman" w:hAnsi="Times New Roman" w:cs="Times New Roman"/>
          <w:sz w:val="24"/>
          <w:szCs w:val="22"/>
        </w:rPr>
      </w:pPr>
      <w:r>
        <w:rPr>
          <w:rFonts w:hint="eastAsia" w:cs="Times New Roman"/>
          <w:sz w:val="24"/>
          <w:szCs w:val="22"/>
          <w:lang w:val="en-US" w:eastAsia="zh-CN"/>
        </w:rPr>
        <w:t>10</w:t>
      </w:r>
      <w:r>
        <w:rPr>
          <w:rFonts w:hint="eastAsia" w:ascii="Times New Roman" w:hAnsi="Times New Roman" w:cs="Times New Roman"/>
          <w:sz w:val="24"/>
          <w:szCs w:val="22"/>
        </w:rPr>
        <w:t>、《水电水利工程边坡设计规范》（SL386-2007）；</w:t>
      </w:r>
    </w:p>
    <w:p>
      <w:pPr>
        <w:spacing w:line="360" w:lineRule="auto"/>
        <w:ind w:firstLine="480"/>
        <w:rPr>
          <w:rFonts w:hint="eastAsia" w:ascii="Times New Roman" w:hAnsi="Times New Roman" w:cs="Times New Roman"/>
          <w:sz w:val="24"/>
          <w:szCs w:val="22"/>
        </w:rPr>
      </w:pPr>
      <w:r>
        <w:rPr>
          <w:rFonts w:hint="eastAsia" w:cs="Times New Roman"/>
          <w:sz w:val="24"/>
          <w:szCs w:val="22"/>
          <w:lang w:val="en-US" w:eastAsia="zh-CN"/>
        </w:rPr>
        <w:t>11</w:t>
      </w:r>
      <w:r>
        <w:rPr>
          <w:rFonts w:hint="eastAsia" w:ascii="Times New Roman" w:hAnsi="Times New Roman" w:cs="Times New Roman"/>
          <w:sz w:val="24"/>
          <w:szCs w:val="22"/>
        </w:rPr>
        <w:t>、《水利水电工程施工组织设计规范》（SL303-2017）；</w:t>
      </w:r>
    </w:p>
    <w:p>
      <w:pPr>
        <w:spacing w:line="360" w:lineRule="auto"/>
        <w:ind w:firstLine="480"/>
        <w:rPr>
          <w:rFonts w:hint="eastAsia" w:ascii="Times New Roman" w:hAnsi="Times New Roman" w:cs="Times New Roman"/>
          <w:sz w:val="24"/>
          <w:szCs w:val="22"/>
        </w:rPr>
      </w:pPr>
      <w:r>
        <w:rPr>
          <w:rFonts w:hint="eastAsia" w:ascii="Times New Roman" w:hAnsi="Times New Roman" w:cs="Times New Roman"/>
          <w:sz w:val="24"/>
          <w:szCs w:val="22"/>
          <w:lang w:val="en-US" w:eastAsia="zh-CN"/>
        </w:rPr>
        <w:t>1</w:t>
      </w:r>
      <w:r>
        <w:rPr>
          <w:rFonts w:hint="eastAsia" w:cs="Times New Roman"/>
          <w:sz w:val="24"/>
          <w:szCs w:val="22"/>
          <w:lang w:val="en-US" w:eastAsia="zh-CN"/>
        </w:rPr>
        <w:t>2</w:t>
      </w:r>
      <w:r>
        <w:rPr>
          <w:rFonts w:hint="eastAsia" w:ascii="Times New Roman" w:hAnsi="Times New Roman" w:cs="Times New Roman"/>
          <w:sz w:val="24"/>
          <w:szCs w:val="22"/>
        </w:rPr>
        <w:t>、《水工混凝土施工规范》（SL677-2014）；</w:t>
      </w:r>
    </w:p>
    <w:p>
      <w:pPr>
        <w:spacing w:line="360" w:lineRule="auto"/>
        <w:ind w:firstLine="480"/>
        <w:rPr>
          <w:rFonts w:hint="eastAsia" w:ascii="Times New Roman" w:hAnsi="Times New Roman" w:eastAsia="宋体" w:cs="Times New Roman"/>
          <w:sz w:val="24"/>
          <w:szCs w:val="22"/>
        </w:rPr>
      </w:pPr>
      <w:r>
        <w:rPr>
          <w:rFonts w:hint="eastAsia" w:ascii="Times New Roman" w:hAnsi="Times New Roman" w:eastAsia="宋体" w:cs="Times New Roman"/>
          <w:sz w:val="24"/>
          <w:szCs w:val="22"/>
          <w:lang w:val="en-US" w:eastAsia="zh-CN"/>
        </w:rPr>
        <w:t>13</w:t>
      </w:r>
      <w:r>
        <w:rPr>
          <w:rFonts w:hint="eastAsia" w:ascii="Times New Roman" w:hAnsi="Times New Roman" w:eastAsia="宋体" w:cs="Times New Roman"/>
          <w:sz w:val="24"/>
          <w:szCs w:val="22"/>
        </w:rPr>
        <w:t>、《水利工程施工质量检验与评定规范》（DB32/T 2334-2013）；</w:t>
      </w:r>
    </w:p>
    <w:p>
      <w:pPr>
        <w:spacing w:line="360" w:lineRule="auto"/>
        <w:ind w:firstLine="480"/>
        <w:rPr>
          <w:rFonts w:hint="eastAsia" w:ascii="Times New Roman" w:hAnsi="Times New Roman" w:eastAsia="宋体" w:cs="Times New Roman"/>
          <w:sz w:val="24"/>
          <w:szCs w:val="22"/>
        </w:rPr>
      </w:pPr>
      <w:r>
        <w:rPr>
          <w:rFonts w:hint="eastAsia" w:ascii="Times New Roman" w:hAnsi="Times New Roman" w:eastAsia="宋体" w:cs="Times New Roman"/>
          <w:sz w:val="24"/>
          <w:szCs w:val="22"/>
        </w:rPr>
        <w:t>1</w:t>
      </w:r>
      <w:r>
        <w:rPr>
          <w:rFonts w:hint="eastAsia" w:ascii="Times New Roman" w:hAnsi="Times New Roman" w:eastAsia="宋体" w:cs="Times New Roman"/>
          <w:sz w:val="24"/>
          <w:szCs w:val="22"/>
          <w:lang w:val="en-US" w:eastAsia="zh-CN"/>
        </w:rPr>
        <w:t>4</w:t>
      </w:r>
      <w:r>
        <w:rPr>
          <w:rFonts w:hint="eastAsia" w:ascii="Times New Roman" w:hAnsi="Times New Roman" w:eastAsia="宋体" w:cs="Times New Roman"/>
          <w:sz w:val="24"/>
          <w:szCs w:val="22"/>
        </w:rPr>
        <w:t>、《灌溉与排水工程设计标准》（GB50288-2018）</w:t>
      </w:r>
    </w:p>
    <w:p>
      <w:pPr>
        <w:spacing w:line="360" w:lineRule="auto"/>
        <w:ind w:firstLine="480"/>
        <w:rPr>
          <w:rFonts w:hint="eastAsia" w:ascii="Times New Roman" w:hAnsi="Times New Roman" w:eastAsia="宋体" w:cs="Times New Roman"/>
          <w:sz w:val="24"/>
          <w:szCs w:val="22"/>
        </w:rPr>
      </w:pPr>
      <w:r>
        <w:rPr>
          <w:rFonts w:hint="eastAsia" w:ascii="Times New Roman" w:hAnsi="Times New Roman" w:eastAsia="宋体" w:cs="Times New Roman"/>
          <w:sz w:val="24"/>
          <w:szCs w:val="22"/>
        </w:rPr>
        <w:t>1</w:t>
      </w:r>
      <w:r>
        <w:rPr>
          <w:rFonts w:hint="eastAsia" w:ascii="Times New Roman" w:hAnsi="Times New Roman" w:eastAsia="宋体" w:cs="Times New Roman"/>
          <w:sz w:val="24"/>
          <w:szCs w:val="22"/>
          <w:lang w:val="en-US" w:eastAsia="zh-CN"/>
        </w:rPr>
        <w:t>5</w:t>
      </w:r>
      <w:r>
        <w:rPr>
          <w:rFonts w:hint="eastAsia" w:ascii="Times New Roman" w:hAnsi="Times New Roman" w:eastAsia="宋体" w:cs="Times New Roman"/>
          <w:sz w:val="24"/>
          <w:szCs w:val="22"/>
        </w:rPr>
        <w:t>、《水工建筑物抗震设计标准》（GB51247-2018）</w:t>
      </w:r>
    </w:p>
    <w:p>
      <w:pPr>
        <w:spacing w:line="360" w:lineRule="auto"/>
        <w:ind w:firstLine="480"/>
        <w:rPr>
          <w:rFonts w:hint="eastAsia" w:cs="Times New Roman"/>
          <w:sz w:val="24"/>
          <w:szCs w:val="22"/>
          <w:lang w:val="en-US" w:eastAsia="zh-CN"/>
        </w:rPr>
      </w:pPr>
      <w:r>
        <w:rPr>
          <w:rFonts w:hint="eastAsia" w:cs="Times New Roman"/>
          <w:sz w:val="24"/>
          <w:szCs w:val="22"/>
          <w:lang w:val="en-US" w:eastAsia="zh-CN"/>
        </w:rPr>
        <w:t>16、《堤防工程设计规范》（GB50286-2013）；</w:t>
      </w:r>
    </w:p>
    <w:p>
      <w:pPr>
        <w:spacing w:line="360" w:lineRule="auto"/>
        <w:ind w:firstLine="480"/>
        <w:rPr>
          <w:rFonts w:hint="eastAsia" w:cs="Times New Roman"/>
          <w:sz w:val="24"/>
          <w:szCs w:val="22"/>
          <w:lang w:val="en-US" w:eastAsia="zh-CN"/>
        </w:rPr>
      </w:pPr>
      <w:r>
        <w:rPr>
          <w:rFonts w:hint="eastAsia" w:cs="Times New Roman"/>
          <w:sz w:val="24"/>
          <w:szCs w:val="22"/>
          <w:lang w:val="en-US" w:eastAsia="zh-CN"/>
        </w:rPr>
        <w:t>17、《河道整治设计规范》（GB50707-2011）；</w:t>
      </w:r>
    </w:p>
    <w:p>
      <w:pPr>
        <w:spacing w:line="360" w:lineRule="auto"/>
        <w:ind w:firstLine="480"/>
        <w:rPr>
          <w:rFonts w:hint="eastAsia" w:cs="Times New Roman"/>
          <w:sz w:val="24"/>
          <w:szCs w:val="22"/>
          <w:lang w:val="en-US" w:eastAsia="zh-CN"/>
        </w:rPr>
      </w:pPr>
      <w:r>
        <w:rPr>
          <w:rFonts w:hint="eastAsia" w:cs="Times New Roman"/>
          <w:sz w:val="24"/>
          <w:szCs w:val="22"/>
          <w:lang w:val="en-US" w:eastAsia="zh-CN"/>
        </w:rPr>
        <w:t>18、《泵站设计规范》（GB50265-2010）；</w:t>
      </w:r>
    </w:p>
    <w:p>
      <w:pPr>
        <w:spacing w:line="336" w:lineRule="auto"/>
        <w:ind w:firstLine="480"/>
        <w:rPr>
          <w:rFonts w:hint="eastAsia"/>
          <w:lang w:eastAsia="zh-CN"/>
        </w:rPr>
      </w:pPr>
      <w:r>
        <w:rPr>
          <w:rFonts w:hint="eastAsia" w:ascii="Times New Roman" w:hAnsi="Times New Roman" w:eastAsia="宋体" w:cs="Times New Roman"/>
          <w:sz w:val="24"/>
          <w:szCs w:val="22"/>
          <w:lang w:val="en-US" w:eastAsia="zh-CN"/>
        </w:rPr>
        <w:t>1</w:t>
      </w:r>
      <w:r>
        <w:rPr>
          <w:rFonts w:hint="eastAsia" w:cs="Times New Roman"/>
          <w:sz w:val="24"/>
          <w:szCs w:val="22"/>
          <w:lang w:val="en-US" w:eastAsia="zh-CN"/>
        </w:rPr>
        <w:t>9</w:t>
      </w:r>
      <w:r>
        <w:rPr>
          <w:rFonts w:hint="eastAsia" w:ascii="Times New Roman" w:hAnsi="Times New Roman" w:eastAsia="宋体" w:cs="Times New Roman"/>
          <w:sz w:val="24"/>
          <w:szCs w:val="22"/>
        </w:rPr>
        <w:t>、其它相关的规范、标准及规程。</w:t>
      </w:r>
    </w:p>
    <w:p>
      <w:pPr>
        <w:pStyle w:val="4"/>
        <w:keepNext w:val="0"/>
      </w:pPr>
      <w:r>
        <w:rPr>
          <w:rFonts w:hint="eastAsia"/>
        </w:rPr>
        <w:t>3工程地质</w:t>
      </w:r>
    </w:p>
    <w:p>
      <w:pPr>
        <w:spacing w:line="360" w:lineRule="auto"/>
        <w:ind w:firstLine="480"/>
      </w:pPr>
      <w:r>
        <w:rPr>
          <w:rFonts w:hint="eastAsia"/>
        </w:rPr>
        <w:t>在勘探范围内，从工程地质角度，地基土可分为4个大层，2个亚层，第1层至2-2层为第四季全新统（Q4）地层，其余为上更新统（Q3）地层，分别描述如下：</w:t>
      </w:r>
    </w:p>
    <w:p>
      <w:pPr>
        <w:spacing w:line="360" w:lineRule="auto"/>
        <w:ind w:firstLine="480"/>
      </w:pPr>
      <w:r>
        <w:rPr>
          <w:rFonts w:hint="eastAsia"/>
        </w:rPr>
        <w:t>1层（</w:t>
      </w:r>
      <w:r>
        <w:t>Q</w:t>
      </w:r>
      <w:r>
        <w:rPr>
          <w:vertAlign w:val="subscript"/>
        </w:rPr>
        <w:t>4</w:t>
      </w:r>
      <w:r>
        <w:rPr>
          <w:vertAlign w:val="superscript"/>
        </w:rPr>
        <w:t>ml</w:t>
      </w:r>
      <w:r>
        <w:rPr>
          <w:rFonts w:hint="eastAsia"/>
        </w:rPr>
        <w:t>）：人工堆土，灰黄、灰色，中、重粉质壤土杂粉质黏土和轻粉质砂壤土，局部地段杂瓦砾，土质不均。层厚0.20~6.10m，平均层厚2.66m，场地普遍分布。</w:t>
      </w:r>
    </w:p>
    <w:p>
      <w:pPr>
        <w:spacing w:line="360" w:lineRule="auto"/>
        <w:ind w:firstLine="480"/>
      </w:pPr>
      <w:r>
        <w:rPr>
          <w:rFonts w:hint="eastAsia"/>
        </w:rPr>
        <w:t>2-1层（</w:t>
      </w:r>
      <w:r>
        <w:t>Q</w:t>
      </w:r>
      <w:r>
        <w:rPr>
          <w:vertAlign w:val="subscript"/>
        </w:rPr>
        <w:t>4</w:t>
      </w:r>
      <w:r>
        <w:rPr>
          <w:vertAlign w:val="superscript"/>
        </w:rPr>
        <w:t>ml</w:t>
      </w:r>
      <w:r>
        <w:rPr>
          <w:rFonts w:hint="eastAsia"/>
        </w:rPr>
        <w:t>）：淤泥质重粉质壤土，灰色，可塑~软塑状态，手捻稍光滑，无摇震反应，干强度和韧性高。[R]=60kPa，力学强度低，层厚2.20~9.60m，平均层厚6.83m，场地部分分布。</w:t>
      </w:r>
    </w:p>
    <w:p>
      <w:pPr>
        <w:spacing w:line="360" w:lineRule="auto"/>
        <w:ind w:firstLine="480"/>
      </w:pPr>
      <w:r>
        <w:rPr>
          <w:rFonts w:hint="eastAsia"/>
        </w:rPr>
        <w:t>2-2层（</w:t>
      </w:r>
      <w:r>
        <w:t>Q</w:t>
      </w:r>
      <w:r>
        <w:rPr>
          <w:vertAlign w:val="subscript"/>
        </w:rPr>
        <w:t>4</w:t>
      </w:r>
      <w:r>
        <w:rPr>
          <w:vertAlign w:val="superscript"/>
        </w:rPr>
        <w:t>al+pl</w:t>
      </w:r>
      <w:r>
        <w:rPr>
          <w:rFonts w:hint="eastAsia"/>
        </w:rPr>
        <w:t>）：重粉质壤土，灰黄色，可塑状态，手捻稍光滑，无摇振反应，干强度和韧性中等。[R]=110kPa，力学强度一般，层厚3.80~9.00m，平均层厚6.40m，场地普遍分布。</w:t>
      </w:r>
    </w:p>
    <w:p>
      <w:pPr>
        <w:spacing w:line="360" w:lineRule="auto"/>
        <w:ind w:firstLine="480"/>
      </w:pPr>
      <w:r>
        <w:rPr>
          <w:rFonts w:hint="eastAsia"/>
        </w:rPr>
        <w:t>3层（</w:t>
      </w:r>
      <w:r>
        <w:t>Q</w:t>
      </w:r>
      <w:r>
        <w:rPr>
          <w:vertAlign w:val="subscript"/>
        </w:rPr>
        <w:t>3</w:t>
      </w:r>
      <w:r>
        <w:rPr>
          <w:vertAlign w:val="superscript"/>
        </w:rPr>
        <w:t>al</w:t>
      </w:r>
      <w:r>
        <w:rPr>
          <w:rFonts w:hint="eastAsia"/>
        </w:rPr>
        <w:t>）：重粉质壤土、粉质黏土，黄色、褐黄色，可塑状态，手捻稍光滑，无摇振反应，中压缩性，干强度和韧性中等。[R]=200kPa，力学强度较高，层厚1.90~11.10m，平均层厚4.24m，场地部分分布。</w:t>
      </w:r>
    </w:p>
    <w:p>
      <w:pPr>
        <w:spacing w:line="360" w:lineRule="auto"/>
        <w:ind w:firstLine="480"/>
        <w:rPr>
          <w:rFonts w:hint="eastAsia"/>
        </w:rPr>
      </w:pPr>
      <w:r>
        <w:rPr>
          <w:rFonts w:hint="eastAsia"/>
        </w:rPr>
        <w:t>4层（</w:t>
      </w:r>
      <w:r>
        <w:t>Q</w:t>
      </w:r>
      <w:r>
        <w:rPr>
          <w:vertAlign w:val="subscript"/>
        </w:rPr>
        <w:t>3</w:t>
      </w:r>
      <w:r>
        <w:rPr>
          <w:vertAlign w:val="superscript"/>
        </w:rPr>
        <w:t>al</w:t>
      </w:r>
      <w:r>
        <w:rPr>
          <w:rFonts w:hint="eastAsia"/>
        </w:rPr>
        <w:t>）：粉质黏土、重粉质壤土，灰黄色，可塑状态，手捻稍光滑，无摇振反应，中压缩性，干强度和韧性中等。[R]=300kPa，力学强度较高，本次勘察未能揭穿该层，最大揭示厚度为13.10m，场地普遍分布。</w:t>
      </w:r>
    </w:p>
    <w:p>
      <w:pPr>
        <w:spacing w:line="360" w:lineRule="auto"/>
        <w:ind w:firstLine="480"/>
      </w:pPr>
      <w:r>
        <w:rPr>
          <w:rFonts w:hint="eastAsia"/>
        </w:rPr>
        <w:t>5层（</w:t>
      </w:r>
      <w:r>
        <w:t>Q</w:t>
      </w:r>
      <w:r>
        <w:rPr>
          <w:vertAlign w:val="subscript"/>
        </w:rPr>
        <w:t>3</w:t>
      </w:r>
      <w:r>
        <w:rPr>
          <w:vertAlign w:val="superscript"/>
        </w:rPr>
        <w:t>al</w:t>
      </w:r>
      <w:r>
        <w:rPr>
          <w:rFonts w:hint="eastAsia"/>
        </w:rPr>
        <w:t>）：粉质黏土、重粉质壤土，灰黄色，可塑~硬可塑状态，手捻稍光滑，无摇震反应，干强度和韧性中等。[R]=400kPa，力学强度高，中压缩性，场地部分分布。本次勘察未能揭穿该层，最大揭示厚度为7.90m。</w:t>
      </w:r>
    </w:p>
    <w:p>
      <w:pPr>
        <w:bidi w:val="0"/>
        <w:rPr>
          <w:rFonts w:hint="eastAsia"/>
        </w:rPr>
      </w:pPr>
      <w:r>
        <w:t>以上各土层详细分布情况详见“工程地质剖面图”，各土</w:t>
      </w:r>
      <w:r>
        <w:rPr>
          <w:rFonts w:hint="eastAsia"/>
        </w:rPr>
        <w:t>层的物理力学性质指标建议值请见“工程地质勘察综合成果建议采用表”。</w:t>
      </w:r>
    </w:p>
    <w:p>
      <w:pPr>
        <w:bidi w:val="0"/>
        <w:rPr>
          <w:rFonts w:hint="eastAsia"/>
        </w:rPr>
      </w:pPr>
      <w:r>
        <w:rPr>
          <w:rFonts w:hint="eastAsia"/>
        </w:rPr>
        <w:t>工程所在场地属</w:t>
      </w:r>
      <w:r>
        <w:rPr>
          <w:rFonts w:hint="eastAsia"/>
          <w:lang w:val="en-US" w:eastAsia="zh-CN"/>
        </w:rPr>
        <w:t>扬州市西区新城</w:t>
      </w:r>
      <w:r>
        <w:rPr>
          <w:rFonts w:hint="eastAsia"/>
        </w:rPr>
        <w:t>，根据《中国地震动参数区划图》GB18306-2015，峰值加速度为0.15g，反应谱特征周期为0.40s，场地设计地震分组为第二组。根据《水工建筑物抗震设计标准》GB51247-2018，根据区域地质，场地覆盖层厚度大于80m，判定建筑场地类别为III类，场地土类型为中软场地土。</w:t>
      </w:r>
    </w:p>
    <w:p>
      <w:pPr>
        <w:bidi w:val="0"/>
        <w:rPr>
          <w:rFonts w:hint="eastAsia"/>
        </w:rPr>
      </w:pPr>
      <w:r>
        <w:rPr>
          <w:rFonts w:hint="eastAsia"/>
        </w:rPr>
        <w:t>根据场地类别，场地的设计特征周期值为0.55s。</w:t>
      </w:r>
    </w:p>
    <w:p>
      <w:pPr>
        <w:pStyle w:val="4"/>
        <w:keepNext w:val="0"/>
      </w:pPr>
      <w:r>
        <w:rPr>
          <w:rFonts w:hint="eastAsia"/>
        </w:rPr>
        <w:t>4主要设计技术指标</w:t>
      </w:r>
    </w:p>
    <w:p>
      <w:pPr>
        <w:pStyle w:val="5"/>
        <w:keepNext w:val="0"/>
      </w:pPr>
      <w:r>
        <w:rPr>
          <w:rFonts w:hint="eastAsia"/>
        </w:rPr>
        <w:t>4.1工程设计标准</w:t>
      </w:r>
    </w:p>
    <w:p>
      <w:pPr>
        <w:pStyle w:val="6"/>
        <w:keepNext w:val="0"/>
      </w:pPr>
      <w:r>
        <w:rPr>
          <w:rFonts w:hint="eastAsia"/>
        </w:rPr>
        <w:t>4.1.1工程等级</w:t>
      </w:r>
    </w:p>
    <w:p>
      <w:pPr>
        <w:ind w:firstLine="480"/>
        <w:rPr>
          <w:rFonts w:hint="eastAsia"/>
        </w:rPr>
      </w:pPr>
      <w:r>
        <w:rPr>
          <w:rFonts w:hint="eastAsia"/>
        </w:rPr>
        <w:t>根据《扬州市城市防洪规划》，河道、涵闸按20年一遇标准设计。主要防洪工程等别为IV等，主要建筑物为4级，次要建筑物为5级。</w:t>
      </w:r>
    </w:p>
    <w:p>
      <w:pPr>
        <w:pStyle w:val="6"/>
        <w:keepNext w:val="0"/>
      </w:pPr>
      <w:r>
        <w:rPr>
          <w:rFonts w:hint="eastAsia"/>
        </w:rPr>
        <w:t>4.1.2设计标准</w:t>
      </w:r>
    </w:p>
    <w:p>
      <w:pPr>
        <w:ind w:firstLine="480"/>
      </w:pPr>
      <w:r>
        <w:rPr>
          <w:rFonts w:hint="eastAsia"/>
        </w:rPr>
        <w:t>根据《扬州市城市防洪规划》整体布局结合《水利水电工程等级划分及洪水标准》（SL252-20017），本区域属于丘陵山区，山洪治理标准为20年一遇。</w:t>
      </w:r>
    </w:p>
    <w:p>
      <w:pPr>
        <w:pStyle w:val="5"/>
        <w:keepNext w:val="0"/>
      </w:pPr>
      <w:r>
        <w:rPr>
          <w:rFonts w:hint="eastAsia"/>
        </w:rPr>
        <w:t>4.</w:t>
      </w:r>
      <w:r>
        <w:t>2</w:t>
      </w:r>
      <w:r>
        <w:rPr>
          <w:rFonts w:hint="eastAsia"/>
        </w:rPr>
        <w:t>设计水位</w:t>
      </w:r>
      <w:r>
        <w:rPr>
          <w:rFonts w:hint="eastAsia"/>
        </w:rPr>
        <w:tab/>
      </w:r>
    </w:p>
    <w:p>
      <w:pPr>
        <w:pStyle w:val="56"/>
        <w:rPr>
          <w:rFonts w:hint="eastAsia"/>
          <w:color w:val="auto"/>
        </w:rPr>
      </w:pPr>
      <w:r>
        <w:rPr>
          <w:rFonts w:hint="eastAsia"/>
          <w:color w:val="auto"/>
          <w:lang w:val="en-US" w:eastAsia="zh-CN"/>
        </w:rPr>
        <w:t>河道</w:t>
      </w:r>
      <w:r>
        <w:rPr>
          <w:rFonts w:hint="eastAsia"/>
          <w:color w:val="auto"/>
        </w:rPr>
        <w:t>工程设计水位如下表所示：</w:t>
      </w:r>
    </w:p>
    <w:p>
      <w:pPr>
        <w:pStyle w:val="56"/>
        <w:rPr>
          <w:rFonts w:hint="eastAsia"/>
          <w:color w:val="auto"/>
        </w:rPr>
      </w:pPr>
    </w:p>
    <w:p>
      <w:pPr>
        <w:pStyle w:val="56"/>
        <w:ind w:left="0" w:leftChars="0" w:firstLine="0" w:firstLineChars="0"/>
        <w:jc w:val="center"/>
        <w:rPr>
          <w:rFonts w:hint="eastAsia"/>
          <w:color w:val="auto"/>
        </w:rPr>
      </w:pPr>
      <w:r>
        <w:rPr>
          <w:b/>
          <w:color w:val="auto"/>
        </w:rPr>
        <w:t>表4-</w:t>
      </w:r>
      <w:r>
        <w:rPr>
          <w:rFonts w:hint="eastAsia"/>
          <w:b/>
          <w:color w:val="auto"/>
          <w:lang w:val="en-US" w:eastAsia="zh-CN"/>
        </w:rPr>
        <w:t>1</w:t>
      </w:r>
      <w:r>
        <w:rPr>
          <w:b/>
          <w:color w:val="auto"/>
        </w:rPr>
        <w:t xml:space="preserve"> </w:t>
      </w:r>
      <w:r>
        <w:rPr>
          <w:rFonts w:hint="eastAsia"/>
          <w:b/>
          <w:color w:val="auto"/>
          <w:lang w:val="en-US" w:eastAsia="zh-CN"/>
        </w:rPr>
        <w:t>河道</w:t>
      </w:r>
      <w:r>
        <w:rPr>
          <w:rFonts w:hint="eastAsia"/>
          <w:b/>
          <w:color w:val="auto"/>
        </w:rPr>
        <w:t>特征水位</w:t>
      </w:r>
      <w:r>
        <w:rPr>
          <w:b/>
          <w:color w:val="auto"/>
        </w:rPr>
        <w:t>表</w:t>
      </w:r>
    </w:p>
    <w:tbl>
      <w:tblPr>
        <w:tblStyle w:val="19"/>
        <w:tblW w:w="4852" w:type="pct"/>
        <w:jc w:val="center"/>
        <w:tblLayout w:type="autofit"/>
        <w:tblCellMar>
          <w:top w:w="0" w:type="dxa"/>
          <w:left w:w="108" w:type="dxa"/>
          <w:bottom w:w="0" w:type="dxa"/>
          <w:right w:w="108" w:type="dxa"/>
        </w:tblCellMar>
      </w:tblPr>
      <w:tblGrid>
        <w:gridCol w:w="715"/>
        <w:gridCol w:w="2548"/>
        <w:gridCol w:w="2068"/>
        <w:gridCol w:w="2131"/>
        <w:gridCol w:w="1633"/>
      </w:tblGrid>
      <w:tr>
        <w:tblPrEx>
          <w:tblCellMar>
            <w:top w:w="0" w:type="dxa"/>
            <w:left w:w="108" w:type="dxa"/>
            <w:bottom w:w="0" w:type="dxa"/>
            <w:right w:w="108" w:type="dxa"/>
          </w:tblCellMar>
        </w:tblPrEx>
        <w:trPr>
          <w:trHeight w:val="513" w:hRule="atLeast"/>
          <w:jc w:val="center"/>
        </w:trPr>
        <w:tc>
          <w:tcPr>
            <w:tcW w:w="39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hAnsi="宋体"/>
                <w:bCs/>
                <w:kern w:val="28"/>
                <w:sz w:val="21"/>
                <w:szCs w:val="21"/>
                <w:highlight w:val="none"/>
              </w:rPr>
            </w:pPr>
            <w:r>
              <w:rPr>
                <w:rFonts w:hint="eastAsia" w:hAnsi="宋体"/>
                <w:bCs/>
                <w:kern w:val="28"/>
                <w:sz w:val="21"/>
                <w:szCs w:val="21"/>
                <w:highlight w:val="none"/>
              </w:rPr>
              <w:t>序号</w:t>
            </w:r>
          </w:p>
        </w:tc>
        <w:tc>
          <w:tcPr>
            <w:tcW w:w="1400" w:type="pct"/>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hAnsi="宋体" w:eastAsia="宋体"/>
                <w:bCs/>
                <w:kern w:val="28"/>
                <w:sz w:val="21"/>
                <w:szCs w:val="21"/>
                <w:highlight w:val="none"/>
                <w:lang w:eastAsia="zh-CN"/>
              </w:rPr>
            </w:pPr>
            <w:r>
              <w:rPr>
                <w:rFonts w:hint="eastAsia" w:hAnsi="宋体"/>
                <w:bCs/>
                <w:kern w:val="28"/>
                <w:sz w:val="21"/>
                <w:szCs w:val="21"/>
                <w:highlight w:val="none"/>
                <w:lang w:val="en-US" w:eastAsia="zh-CN"/>
              </w:rPr>
              <w:t>名称</w:t>
            </w:r>
          </w:p>
        </w:tc>
        <w:tc>
          <w:tcPr>
            <w:tcW w:w="1136" w:type="pct"/>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hAnsi="宋体"/>
                <w:bCs/>
                <w:kern w:val="28"/>
                <w:sz w:val="21"/>
                <w:szCs w:val="21"/>
                <w:highlight w:val="none"/>
              </w:rPr>
            </w:pPr>
            <w:r>
              <w:rPr>
                <w:rFonts w:hint="eastAsia" w:hAnsi="宋体"/>
                <w:bCs/>
                <w:kern w:val="28"/>
                <w:sz w:val="21"/>
                <w:szCs w:val="21"/>
                <w:highlight w:val="none"/>
              </w:rPr>
              <w:t>地面控制高程（m）</w:t>
            </w:r>
          </w:p>
        </w:tc>
        <w:tc>
          <w:tcPr>
            <w:tcW w:w="11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hAnsi="宋体"/>
                <w:bCs/>
                <w:kern w:val="28"/>
                <w:sz w:val="21"/>
                <w:szCs w:val="21"/>
                <w:highlight w:val="none"/>
              </w:rPr>
            </w:pPr>
            <w:r>
              <w:rPr>
                <w:rFonts w:hint="eastAsia" w:hAnsi="宋体"/>
                <w:bCs/>
                <w:kern w:val="28"/>
                <w:sz w:val="21"/>
                <w:szCs w:val="21"/>
                <w:highlight w:val="none"/>
              </w:rPr>
              <w:t>防洪设计水位（m）</w:t>
            </w:r>
          </w:p>
        </w:tc>
        <w:tc>
          <w:tcPr>
            <w:tcW w:w="89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hAnsi="宋体"/>
                <w:bCs/>
                <w:kern w:val="28"/>
                <w:sz w:val="21"/>
                <w:szCs w:val="21"/>
                <w:highlight w:val="none"/>
              </w:rPr>
            </w:pPr>
            <w:r>
              <w:rPr>
                <w:rFonts w:hint="eastAsia" w:hAnsi="宋体"/>
                <w:bCs/>
                <w:kern w:val="28"/>
                <w:sz w:val="21"/>
                <w:szCs w:val="21"/>
                <w:highlight w:val="none"/>
              </w:rPr>
              <w:t>常水位（m）</w:t>
            </w:r>
          </w:p>
        </w:tc>
      </w:tr>
      <w:tr>
        <w:tblPrEx>
          <w:tblCellMar>
            <w:top w:w="0" w:type="dxa"/>
            <w:left w:w="108" w:type="dxa"/>
            <w:bottom w:w="0" w:type="dxa"/>
            <w:right w:w="108" w:type="dxa"/>
          </w:tblCellMar>
        </w:tblPrEx>
        <w:trPr>
          <w:trHeight w:val="300" w:hRule="atLeast"/>
          <w:jc w:val="center"/>
        </w:trPr>
        <w:tc>
          <w:tcPr>
            <w:tcW w:w="393" w:type="pc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hAnsi="宋体"/>
                <w:b/>
                <w:bCs w:val="0"/>
                <w:kern w:val="28"/>
                <w:sz w:val="21"/>
                <w:szCs w:val="21"/>
                <w:highlight w:val="none"/>
              </w:rPr>
            </w:pPr>
            <w:r>
              <w:rPr>
                <w:rFonts w:hint="eastAsia" w:hAnsi="宋体"/>
                <w:b/>
                <w:bCs w:val="0"/>
                <w:kern w:val="28"/>
                <w:sz w:val="21"/>
                <w:szCs w:val="21"/>
                <w:highlight w:val="none"/>
              </w:rPr>
              <w:t>1</w:t>
            </w:r>
          </w:p>
        </w:tc>
        <w:tc>
          <w:tcPr>
            <w:tcW w:w="1400" w:type="pct"/>
            <w:tcBorders>
              <w:top w:val="nil"/>
              <w:left w:val="nil"/>
              <w:bottom w:val="single" w:color="auto" w:sz="4" w:space="0"/>
              <w:right w:val="single" w:color="auto" w:sz="4" w:space="0"/>
            </w:tcBorders>
            <w:shd w:val="clear" w:color="auto" w:fill="auto"/>
            <w:noWrap/>
            <w:vAlign w:val="center"/>
          </w:tcPr>
          <w:p>
            <w:pPr>
              <w:pStyle w:val="67"/>
              <w:ind w:left="0" w:leftChars="0" w:firstLine="0" w:firstLineChars="0"/>
              <w:rPr>
                <w:rFonts w:hint="eastAsia" w:hAnsi="宋体" w:eastAsia="宋体"/>
                <w:b w:val="0"/>
                <w:bCs/>
                <w:kern w:val="28"/>
                <w:sz w:val="21"/>
                <w:szCs w:val="21"/>
                <w:highlight w:val="none"/>
                <w:lang w:val="en-US" w:eastAsia="zh-CN"/>
              </w:rPr>
            </w:pPr>
            <w:r>
              <w:rPr>
                <w:rFonts w:hint="eastAsia"/>
                <w:lang w:val="en-US" w:eastAsia="zh-CN"/>
              </w:rPr>
              <w:t>蜀冈冲铁路以西段</w:t>
            </w:r>
          </w:p>
        </w:tc>
        <w:tc>
          <w:tcPr>
            <w:tcW w:w="1136" w:type="pct"/>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default" w:hAnsi="宋体" w:eastAsia="宋体"/>
                <w:b w:val="0"/>
                <w:bCs/>
                <w:kern w:val="28"/>
                <w:sz w:val="21"/>
                <w:szCs w:val="21"/>
                <w:highlight w:val="none"/>
                <w:lang w:val="en-US" w:eastAsia="zh-CN"/>
              </w:rPr>
            </w:pPr>
            <w:r>
              <w:rPr>
                <w:rFonts w:hint="eastAsia" w:hAnsi="宋体"/>
                <w:b w:val="0"/>
                <w:bCs/>
                <w:kern w:val="28"/>
                <w:sz w:val="21"/>
                <w:szCs w:val="21"/>
                <w:highlight w:val="none"/>
                <w:lang w:val="en-US" w:eastAsia="zh-CN"/>
              </w:rPr>
              <w:t>14.84</w:t>
            </w:r>
          </w:p>
        </w:tc>
        <w:tc>
          <w:tcPr>
            <w:tcW w:w="1171" w:type="pct"/>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default" w:hAnsi="宋体" w:eastAsia="宋体"/>
                <w:b w:val="0"/>
                <w:bCs/>
                <w:kern w:val="28"/>
                <w:sz w:val="21"/>
                <w:szCs w:val="21"/>
                <w:highlight w:val="none"/>
                <w:lang w:val="en-US" w:eastAsia="zh-CN"/>
              </w:rPr>
            </w:pPr>
            <w:r>
              <w:rPr>
                <w:rFonts w:hint="eastAsia" w:hAnsi="宋体"/>
                <w:b w:val="0"/>
                <w:bCs/>
                <w:kern w:val="28"/>
                <w:sz w:val="21"/>
                <w:szCs w:val="21"/>
                <w:highlight w:val="none"/>
                <w:lang w:val="en-US" w:eastAsia="zh-CN"/>
              </w:rPr>
              <w:t>14.2</w:t>
            </w:r>
          </w:p>
        </w:tc>
        <w:tc>
          <w:tcPr>
            <w:tcW w:w="897" w:type="pct"/>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default" w:hAnsi="宋体" w:eastAsia="宋体"/>
                <w:b w:val="0"/>
                <w:bCs/>
                <w:kern w:val="28"/>
                <w:sz w:val="21"/>
                <w:szCs w:val="21"/>
                <w:highlight w:val="none"/>
                <w:lang w:val="en-US" w:eastAsia="zh-CN"/>
              </w:rPr>
            </w:pPr>
            <w:r>
              <w:rPr>
                <w:rFonts w:hint="eastAsia" w:hAnsi="宋体"/>
                <w:b w:val="0"/>
                <w:bCs/>
                <w:kern w:val="28"/>
                <w:sz w:val="21"/>
                <w:szCs w:val="21"/>
                <w:highlight w:val="none"/>
                <w:lang w:val="en-US" w:eastAsia="zh-CN"/>
              </w:rPr>
              <w:t>13.5</w:t>
            </w:r>
          </w:p>
        </w:tc>
      </w:tr>
    </w:tbl>
    <w:p>
      <w:pPr>
        <w:pStyle w:val="56"/>
        <w:rPr>
          <w:rFonts w:hint="eastAsia"/>
          <w:color w:val="auto"/>
        </w:rPr>
      </w:pPr>
      <w:r>
        <w:rPr>
          <w:rFonts w:hint="eastAsia"/>
          <w:color w:val="auto"/>
        </w:rPr>
        <w:t>建筑物工程设计水位组合如下表所示：</w:t>
      </w:r>
    </w:p>
    <w:p>
      <w:pPr>
        <w:ind w:firstLine="0" w:firstLineChars="0"/>
        <w:jc w:val="center"/>
        <w:rPr>
          <w:b/>
          <w:bCs/>
        </w:rPr>
      </w:pPr>
      <w:r>
        <w:rPr>
          <w:b/>
        </w:rPr>
        <w:t>表4-</w:t>
      </w:r>
      <w:r>
        <w:rPr>
          <w:rFonts w:hint="eastAsia"/>
          <w:b/>
          <w:lang w:val="en-US" w:eastAsia="zh-CN"/>
        </w:rPr>
        <w:t>2</w:t>
      </w:r>
      <w:r>
        <w:rPr>
          <w:b/>
        </w:rPr>
        <w:t xml:space="preserve"> </w:t>
      </w:r>
      <w:r>
        <w:rPr>
          <w:rFonts w:hint="eastAsia"/>
          <w:b/>
          <w:lang w:val="en-US" w:eastAsia="zh-CN"/>
        </w:rPr>
        <w:t>建筑物特</w:t>
      </w:r>
      <w:r>
        <w:rPr>
          <w:rFonts w:hint="eastAsia"/>
          <w:b/>
        </w:rPr>
        <w:t>征水位</w:t>
      </w:r>
      <w:r>
        <w:rPr>
          <w:b/>
        </w:rPr>
        <w:t>表</w:t>
      </w:r>
    </w:p>
    <w:tbl>
      <w:tblPr>
        <w:tblStyle w:val="19"/>
        <w:tblW w:w="5019" w:type="pct"/>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81"/>
        <w:gridCol w:w="1146"/>
        <w:gridCol w:w="563"/>
        <w:gridCol w:w="1116"/>
        <w:gridCol w:w="644"/>
        <w:gridCol w:w="1756"/>
        <w:gridCol w:w="2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586" w:type="pct"/>
            <w:shd w:val="clear" w:color="auto" w:fill="auto"/>
            <w:noWrap/>
            <w:tcMar>
              <w:top w:w="15" w:type="dxa"/>
              <w:left w:w="15" w:type="dxa"/>
              <w:right w:w="15" w:type="dxa"/>
            </w:tcMar>
            <w:vAlign w:val="center"/>
          </w:tcPr>
          <w:p>
            <w:pPr>
              <w:pStyle w:val="67"/>
            </w:pPr>
            <w:r>
              <w:rPr>
                <w:rFonts w:hint="eastAsia"/>
              </w:rPr>
              <w:t>水位组合</w:t>
            </w:r>
          </w:p>
        </w:tc>
        <w:tc>
          <w:tcPr>
            <w:tcW w:w="621" w:type="pct"/>
            <w:shd w:val="clear" w:color="auto" w:fill="auto"/>
            <w:noWrap/>
            <w:tcMar>
              <w:top w:w="15" w:type="dxa"/>
              <w:left w:w="15" w:type="dxa"/>
              <w:right w:w="15" w:type="dxa"/>
            </w:tcMar>
            <w:vAlign w:val="center"/>
          </w:tcPr>
          <w:p>
            <w:pPr>
              <w:pStyle w:val="67"/>
            </w:pPr>
            <w:r>
              <w:rPr>
                <w:rFonts w:hint="eastAsia"/>
              </w:rPr>
              <w:t>工况</w:t>
            </w:r>
          </w:p>
        </w:tc>
        <w:tc>
          <w:tcPr>
            <w:tcW w:w="910" w:type="pct"/>
            <w:gridSpan w:val="2"/>
            <w:shd w:val="clear" w:color="auto" w:fill="auto"/>
            <w:noWrap/>
            <w:tcMar>
              <w:top w:w="15" w:type="dxa"/>
              <w:left w:w="15" w:type="dxa"/>
              <w:right w:w="15" w:type="dxa"/>
            </w:tcMar>
            <w:vAlign w:val="center"/>
          </w:tcPr>
          <w:p>
            <w:pPr>
              <w:pStyle w:val="67"/>
            </w:pPr>
            <w:r>
              <w:rPr>
                <w:rFonts w:hint="eastAsia"/>
              </w:rPr>
              <w:t>内河侧</w:t>
            </w:r>
          </w:p>
        </w:tc>
        <w:tc>
          <w:tcPr>
            <w:tcW w:w="1301" w:type="pct"/>
            <w:gridSpan w:val="2"/>
            <w:shd w:val="clear" w:color="auto" w:fill="auto"/>
            <w:noWrap/>
            <w:tcMar>
              <w:top w:w="15" w:type="dxa"/>
              <w:left w:w="15" w:type="dxa"/>
              <w:right w:w="15" w:type="dxa"/>
            </w:tcMar>
            <w:vAlign w:val="center"/>
          </w:tcPr>
          <w:p>
            <w:pPr>
              <w:pStyle w:val="67"/>
            </w:pPr>
            <w:r>
              <w:rPr>
                <w:rFonts w:hint="eastAsia"/>
              </w:rPr>
              <w:t>高邮湖侧（外河）</w:t>
            </w:r>
          </w:p>
        </w:tc>
        <w:tc>
          <w:tcPr>
            <w:tcW w:w="1580" w:type="pct"/>
            <w:shd w:val="clear" w:color="auto" w:fill="auto"/>
            <w:noWrap/>
            <w:tcMar>
              <w:top w:w="15" w:type="dxa"/>
              <w:left w:w="15" w:type="dxa"/>
              <w:right w:w="15" w:type="dxa"/>
            </w:tcMar>
            <w:vAlign w:val="center"/>
          </w:tcPr>
          <w:p>
            <w:pPr>
              <w:pStyle w:val="67"/>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586" w:type="pct"/>
            <w:vMerge w:val="restart"/>
            <w:shd w:val="clear" w:color="auto" w:fill="auto"/>
            <w:noWrap/>
            <w:tcMar>
              <w:top w:w="15" w:type="dxa"/>
              <w:left w:w="15" w:type="dxa"/>
              <w:right w:w="15" w:type="dxa"/>
            </w:tcMar>
            <w:vAlign w:val="center"/>
          </w:tcPr>
          <w:p>
            <w:pPr>
              <w:pStyle w:val="67"/>
              <w:rPr>
                <w:rFonts w:hint="default" w:eastAsia="宋体"/>
                <w:lang w:val="en-US" w:eastAsia="zh-CN"/>
              </w:rPr>
            </w:pPr>
            <w:r>
              <w:rPr>
                <w:rFonts w:hint="eastAsia"/>
                <w:lang w:val="en-US" w:eastAsia="zh-CN"/>
              </w:rPr>
              <w:t>滚水坝</w:t>
            </w:r>
          </w:p>
        </w:tc>
        <w:tc>
          <w:tcPr>
            <w:tcW w:w="621" w:type="pct"/>
            <w:shd w:val="clear" w:color="auto" w:fill="auto"/>
            <w:noWrap/>
            <w:tcMar>
              <w:top w:w="15" w:type="dxa"/>
              <w:left w:w="15" w:type="dxa"/>
              <w:right w:w="15" w:type="dxa"/>
            </w:tcMar>
            <w:vAlign w:val="center"/>
          </w:tcPr>
          <w:p>
            <w:pPr>
              <w:pStyle w:val="67"/>
            </w:pPr>
            <w:r>
              <w:rPr>
                <w:rFonts w:hint="eastAsia"/>
              </w:rPr>
              <w:t>设计</w:t>
            </w:r>
          </w:p>
        </w:tc>
        <w:tc>
          <w:tcPr>
            <w:tcW w:w="305" w:type="pct"/>
            <w:shd w:val="clear" w:color="auto" w:fill="auto"/>
            <w:noWrap/>
            <w:tcMar>
              <w:top w:w="15" w:type="dxa"/>
              <w:left w:w="15" w:type="dxa"/>
              <w:right w:w="15" w:type="dxa"/>
            </w:tcMar>
            <w:vAlign w:val="center"/>
          </w:tcPr>
          <w:p>
            <w:pPr>
              <w:pStyle w:val="67"/>
              <w:rPr>
                <w:rFonts w:hint="default" w:eastAsia="宋体"/>
                <w:lang w:val="en-US" w:eastAsia="zh-CN"/>
              </w:rPr>
            </w:pPr>
            <w:r>
              <w:rPr>
                <w:rFonts w:hint="eastAsia"/>
                <w:lang w:val="en-US" w:eastAsia="zh-CN"/>
              </w:rPr>
              <w:t>13.5</w:t>
            </w:r>
          </w:p>
        </w:tc>
        <w:tc>
          <w:tcPr>
            <w:tcW w:w="605" w:type="pct"/>
            <w:shd w:val="clear" w:color="auto" w:fill="auto"/>
            <w:noWrap/>
            <w:tcMar>
              <w:top w:w="15" w:type="dxa"/>
              <w:left w:w="15" w:type="dxa"/>
              <w:right w:w="15" w:type="dxa"/>
            </w:tcMar>
            <w:vAlign w:val="center"/>
          </w:tcPr>
          <w:p>
            <w:pPr>
              <w:pStyle w:val="67"/>
            </w:pPr>
            <w:r>
              <w:rPr>
                <w:rFonts w:hint="eastAsia"/>
              </w:rPr>
              <w:t>上游常水位</w:t>
            </w:r>
          </w:p>
        </w:tc>
        <w:tc>
          <w:tcPr>
            <w:tcW w:w="349" w:type="pct"/>
            <w:shd w:val="clear" w:color="auto" w:fill="auto"/>
            <w:noWrap/>
            <w:tcMar>
              <w:top w:w="15" w:type="dxa"/>
              <w:left w:w="15" w:type="dxa"/>
              <w:right w:w="15" w:type="dxa"/>
            </w:tcMar>
            <w:vAlign w:val="center"/>
          </w:tcPr>
          <w:p>
            <w:pPr>
              <w:pStyle w:val="67"/>
              <w:rPr>
                <w:rFonts w:hint="default" w:eastAsia="宋体"/>
                <w:lang w:val="en-US" w:eastAsia="zh-CN"/>
              </w:rPr>
            </w:pPr>
            <w:r>
              <w:rPr>
                <w:rFonts w:hint="eastAsia"/>
                <w:lang w:val="en-US" w:eastAsia="zh-CN"/>
              </w:rPr>
              <w:t>11.34</w:t>
            </w:r>
          </w:p>
        </w:tc>
        <w:tc>
          <w:tcPr>
            <w:tcW w:w="952" w:type="pct"/>
            <w:shd w:val="clear" w:color="auto" w:fill="auto"/>
            <w:tcMar>
              <w:top w:w="15" w:type="dxa"/>
              <w:left w:w="15" w:type="dxa"/>
              <w:right w:w="15" w:type="dxa"/>
            </w:tcMar>
            <w:vAlign w:val="center"/>
          </w:tcPr>
          <w:p>
            <w:pPr>
              <w:pStyle w:val="67"/>
            </w:pPr>
            <w:r>
              <w:rPr>
                <w:rFonts w:hint="eastAsia"/>
                <w:lang w:val="en-US" w:eastAsia="zh-CN"/>
              </w:rPr>
              <w:t>下</w:t>
            </w:r>
            <w:r>
              <w:rPr>
                <w:rFonts w:hint="eastAsia"/>
              </w:rPr>
              <w:t>游常水位</w:t>
            </w:r>
          </w:p>
        </w:tc>
        <w:tc>
          <w:tcPr>
            <w:tcW w:w="1580" w:type="pct"/>
            <w:shd w:val="clear" w:color="auto" w:fill="auto"/>
            <w:noWrap/>
            <w:tcMar>
              <w:top w:w="15" w:type="dxa"/>
              <w:left w:w="15" w:type="dxa"/>
              <w:right w:w="15" w:type="dxa"/>
            </w:tcMar>
            <w:vAlign w:val="center"/>
          </w:tcPr>
          <w:p>
            <w:pPr>
              <w:pStyle w:val="67"/>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586" w:type="pct"/>
            <w:vMerge w:val="continue"/>
            <w:shd w:val="clear" w:color="auto" w:fill="auto"/>
            <w:noWrap/>
            <w:tcMar>
              <w:top w:w="15" w:type="dxa"/>
              <w:left w:w="15" w:type="dxa"/>
              <w:right w:w="15" w:type="dxa"/>
            </w:tcMar>
            <w:vAlign w:val="center"/>
          </w:tcPr>
          <w:p>
            <w:pPr>
              <w:pStyle w:val="67"/>
            </w:pPr>
          </w:p>
        </w:tc>
        <w:tc>
          <w:tcPr>
            <w:tcW w:w="621" w:type="pct"/>
            <w:shd w:val="clear" w:color="auto" w:fill="auto"/>
            <w:noWrap/>
            <w:tcMar>
              <w:top w:w="15" w:type="dxa"/>
              <w:left w:w="15" w:type="dxa"/>
              <w:right w:w="15" w:type="dxa"/>
            </w:tcMar>
            <w:vAlign w:val="center"/>
          </w:tcPr>
          <w:p>
            <w:pPr>
              <w:pStyle w:val="67"/>
            </w:pPr>
            <w:r>
              <w:rPr>
                <w:rFonts w:hint="eastAsia"/>
              </w:rPr>
              <w:t>校核</w:t>
            </w:r>
          </w:p>
        </w:tc>
        <w:tc>
          <w:tcPr>
            <w:tcW w:w="305" w:type="pct"/>
            <w:shd w:val="clear" w:color="auto" w:fill="auto"/>
            <w:noWrap/>
            <w:tcMar>
              <w:top w:w="15" w:type="dxa"/>
              <w:left w:w="15" w:type="dxa"/>
              <w:right w:w="15" w:type="dxa"/>
            </w:tcMar>
            <w:vAlign w:val="center"/>
          </w:tcPr>
          <w:p>
            <w:pPr>
              <w:pStyle w:val="67"/>
              <w:rPr>
                <w:rFonts w:hint="default" w:eastAsia="宋体"/>
                <w:lang w:val="en-US" w:eastAsia="zh-CN"/>
              </w:rPr>
            </w:pPr>
            <w:r>
              <w:rPr>
                <w:rFonts w:hint="eastAsia"/>
                <w:lang w:val="en-US" w:eastAsia="zh-CN"/>
              </w:rPr>
              <w:t>14.2</w:t>
            </w:r>
          </w:p>
        </w:tc>
        <w:tc>
          <w:tcPr>
            <w:tcW w:w="605" w:type="pct"/>
            <w:shd w:val="clear" w:color="auto" w:fill="auto"/>
            <w:noWrap/>
            <w:tcMar>
              <w:top w:w="15" w:type="dxa"/>
              <w:left w:w="15" w:type="dxa"/>
              <w:right w:w="15" w:type="dxa"/>
            </w:tcMar>
            <w:vAlign w:val="center"/>
          </w:tcPr>
          <w:p>
            <w:pPr>
              <w:pStyle w:val="67"/>
            </w:pPr>
            <w:r>
              <w:rPr>
                <w:rFonts w:hint="eastAsia"/>
              </w:rPr>
              <w:t>上游</w:t>
            </w:r>
            <w:r>
              <w:rPr>
                <w:rFonts w:hint="eastAsia"/>
                <w:lang w:val="en-US" w:eastAsia="zh-CN"/>
              </w:rPr>
              <w:t>高</w:t>
            </w:r>
            <w:r>
              <w:rPr>
                <w:rFonts w:hint="eastAsia"/>
              </w:rPr>
              <w:t>水位</w:t>
            </w:r>
          </w:p>
        </w:tc>
        <w:tc>
          <w:tcPr>
            <w:tcW w:w="349" w:type="pct"/>
            <w:shd w:val="clear" w:color="auto" w:fill="auto"/>
            <w:noWrap/>
            <w:tcMar>
              <w:top w:w="15" w:type="dxa"/>
              <w:left w:w="15" w:type="dxa"/>
              <w:right w:w="15" w:type="dxa"/>
            </w:tcMar>
            <w:vAlign w:val="center"/>
          </w:tcPr>
          <w:p>
            <w:pPr>
              <w:pStyle w:val="67"/>
              <w:rPr>
                <w:rFonts w:hint="default" w:eastAsia="宋体"/>
                <w:lang w:val="en-US" w:eastAsia="zh-CN"/>
              </w:rPr>
            </w:pPr>
            <w:r>
              <w:rPr>
                <w:rFonts w:hint="eastAsia"/>
                <w:lang w:val="en-US" w:eastAsia="zh-CN"/>
              </w:rPr>
              <w:t>11.34</w:t>
            </w:r>
          </w:p>
        </w:tc>
        <w:tc>
          <w:tcPr>
            <w:tcW w:w="952" w:type="pct"/>
            <w:shd w:val="clear" w:color="auto" w:fill="auto"/>
            <w:tcMar>
              <w:top w:w="15" w:type="dxa"/>
              <w:left w:w="15" w:type="dxa"/>
              <w:right w:w="15" w:type="dxa"/>
            </w:tcMar>
            <w:vAlign w:val="center"/>
          </w:tcPr>
          <w:p>
            <w:pPr>
              <w:pStyle w:val="67"/>
            </w:pPr>
            <w:r>
              <w:rPr>
                <w:rFonts w:hint="eastAsia"/>
                <w:lang w:val="en-US" w:eastAsia="zh-CN"/>
              </w:rPr>
              <w:t>下</w:t>
            </w:r>
            <w:r>
              <w:rPr>
                <w:rFonts w:hint="eastAsia"/>
              </w:rPr>
              <w:t>游常水位</w:t>
            </w:r>
          </w:p>
        </w:tc>
        <w:tc>
          <w:tcPr>
            <w:tcW w:w="1580" w:type="pct"/>
            <w:shd w:val="clear" w:color="auto" w:fill="auto"/>
            <w:noWrap/>
            <w:tcMar>
              <w:top w:w="15" w:type="dxa"/>
              <w:left w:w="15" w:type="dxa"/>
              <w:right w:w="15" w:type="dxa"/>
            </w:tcMar>
            <w:vAlign w:val="center"/>
          </w:tcPr>
          <w:p>
            <w:pPr>
              <w:pStyle w:val="67"/>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586" w:type="pct"/>
            <w:vMerge w:val="continue"/>
            <w:shd w:val="clear" w:color="auto" w:fill="auto"/>
            <w:noWrap/>
            <w:tcMar>
              <w:top w:w="15" w:type="dxa"/>
              <w:left w:w="15" w:type="dxa"/>
              <w:right w:w="15" w:type="dxa"/>
            </w:tcMar>
            <w:vAlign w:val="center"/>
          </w:tcPr>
          <w:p>
            <w:pPr>
              <w:pStyle w:val="67"/>
            </w:pPr>
          </w:p>
        </w:tc>
        <w:tc>
          <w:tcPr>
            <w:tcW w:w="621" w:type="pct"/>
            <w:shd w:val="clear" w:color="auto" w:fill="auto"/>
            <w:noWrap/>
            <w:tcMar>
              <w:top w:w="15" w:type="dxa"/>
              <w:left w:w="15" w:type="dxa"/>
              <w:right w:w="15" w:type="dxa"/>
            </w:tcMar>
            <w:vAlign w:val="center"/>
          </w:tcPr>
          <w:p>
            <w:pPr>
              <w:pStyle w:val="67"/>
              <w:rPr>
                <w:rFonts w:hint="eastAsia" w:eastAsia="宋体"/>
                <w:lang w:val="en-US" w:eastAsia="zh-CN"/>
              </w:rPr>
            </w:pPr>
            <w:r>
              <w:rPr>
                <w:rFonts w:hint="eastAsia"/>
                <w:lang w:val="en-US" w:eastAsia="zh-CN"/>
              </w:rPr>
              <w:t>检修期</w:t>
            </w:r>
          </w:p>
        </w:tc>
        <w:tc>
          <w:tcPr>
            <w:tcW w:w="305" w:type="pct"/>
            <w:shd w:val="clear" w:color="auto" w:fill="auto"/>
            <w:noWrap/>
            <w:tcMar>
              <w:top w:w="15" w:type="dxa"/>
              <w:left w:w="15" w:type="dxa"/>
              <w:right w:w="15" w:type="dxa"/>
            </w:tcMar>
            <w:vAlign w:val="center"/>
          </w:tcPr>
          <w:p>
            <w:pPr>
              <w:pStyle w:val="67"/>
              <w:rPr>
                <w:rFonts w:hint="default" w:eastAsia="宋体"/>
                <w:lang w:val="en-US" w:eastAsia="zh-CN"/>
              </w:rPr>
            </w:pPr>
            <w:r>
              <w:rPr>
                <w:rFonts w:hint="eastAsia"/>
                <w:lang w:val="en-US" w:eastAsia="zh-CN"/>
              </w:rPr>
              <w:t>13.5</w:t>
            </w:r>
          </w:p>
        </w:tc>
        <w:tc>
          <w:tcPr>
            <w:tcW w:w="605" w:type="pct"/>
            <w:shd w:val="clear" w:color="auto" w:fill="auto"/>
            <w:noWrap/>
            <w:tcMar>
              <w:top w:w="15" w:type="dxa"/>
              <w:left w:w="15" w:type="dxa"/>
              <w:right w:w="15" w:type="dxa"/>
            </w:tcMar>
            <w:vAlign w:val="center"/>
          </w:tcPr>
          <w:p>
            <w:pPr>
              <w:pStyle w:val="67"/>
            </w:pPr>
            <w:r>
              <w:rPr>
                <w:rFonts w:hint="eastAsia"/>
              </w:rPr>
              <w:t>上游常水位</w:t>
            </w:r>
          </w:p>
        </w:tc>
        <w:tc>
          <w:tcPr>
            <w:tcW w:w="349" w:type="pct"/>
            <w:shd w:val="clear" w:color="auto" w:fill="auto"/>
            <w:noWrap/>
            <w:tcMar>
              <w:top w:w="15" w:type="dxa"/>
              <w:left w:w="15" w:type="dxa"/>
              <w:right w:w="15" w:type="dxa"/>
            </w:tcMar>
            <w:vAlign w:val="center"/>
          </w:tcPr>
          <w:p>
            <w:pPr>
              <w:pStyle w:val="67"/>
              <w:rPr>
                <w:rFonts w:hint="default" w:eastAsia="宋体"/>
                <w:lang w:val="en-US" w:eastAsia="zh-CN"/>
              </w:rPr>
            </w:pPr>
            <w:r>
              <w:rPr>
                <w:rFonts w:hint="eastAsia"/>
                <w:lang w:val="en-US" w:eastAsia="zh-CN"/>
              </w:rPr>
              <w:t>11.34</w:t>
            </w:r>
          </w:p>
        </w:tc>
        <w:tc>
          <w:tcPr>
            <w:tcW w:w="952" w:type="pct"/>
            <w:shd w:val="clear" w:color="auto" w:fill="auto"/>
            <w:noWrap/>
            <w:tcMar>
              <w:top w:w="15" w:type="dxa"/>
              <w:left w:w="15" w:type="dxa"/>
              <w:right w:w="15" w:type="dxa"/>
            </w:tcMar>
            <w:vAlign w:val="center"/>
          </w:tcPr>
          <w:p>
            <w:pPr>
              <w:pStyle w:val="67"/>
            </w:pPr>
            <w:r>
              <w:rPr>
                <w:rFonts w:hint="eastAsia"/>
                <w:lang w:val="en-US" w:eastAsia="zh-CN"/>
              </w:rPr>
              <w:t>下</w:t>
            </w:r>
            <w:r>
              <w:rPr>
                <w:rFonts w:hint="eastAsia"/>
              </w:rPr>
              <w:t>游</w:t>
            </w:r>
            <w:r>
              <w:rPr>
                <w:rFonts w:hint="eastAsia"/>
                <w:lang w:val="en-US" w:eastAsia="zh-CN"/>
              </w:rPr>
              <w:t>无</w:t>
            </w:r>
            <w:r>
              <w:rPr>
                <w:rFonts w:hint="eastAsia"/>
              </w:rPr>
              <w:t>位</w:t>
            </w:r>
          </w:p>
        </w:tc>
        <w:tc>
          <w:tcPr>
            <w:tcW w:w="1580" w:type="pct"/>
            <w:shd w:val="clear" w:color="auto" w:fill="auto"/>
            <w:noWrap/>
            <w:tcMar>
              <w:top w:w="15" w:type="dxa"/>
              <w:left w:w="15" w:type="dxa"/>
              <w:right w:w="15" w:type="dxa"/>
            </w:tcMar>
            <w:vAlign w:val="center"/>
          </w:tcPr>
          <w:p>
            <w:pPr>
              <w:pStyle w:val="67"/>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586" w:type="pct"/>
            <w:vMerge w:val="restart"/>
            <w:shd w:val="clear" w:color="auto" w:fill="auto"/>
            <w:noWrap/>
            <w:tcMar>
              <w:top w:w="15" w:type="dxa"/>
              <w:left w:w="15" w:type="dxa"/>
              <w:right w:w="15" w:type="dxa"/>
            </w:tcMar>
            <w:vAlign w:val="center"/>
          </w:tcPr>
          <w:p>
            <w:pPr>
              <w:pStyle w:val="67"/>
              <w:rPr>
                <w:rFonts w:hint="default" w:eastAsia="宋体"/>
                <w:lang w:val="en-US" w:eastAsia="zh-CN"/>
              </w:rPr>
            </w:pPr>
            <w:r>
              <w:rPr>
                <w:rFonts w:hint="eastAsia"/>
                <w:lang w:val="en-US" w:eastAsia="zh-CN"/>
              </w:rPr>
              <w:t>活水泵站</w:t>
            </w:r>
          </w:p>
        </w:tc>
        <w:tc>
          <w:tcPr>
            <w:tcW w:w="621" w:type="pct"/>
            <w:shd w:val="clear" w:color="auto" w:fill="auto"/>
            <w:noWrap/>
            <w:tcMar>
              <w:top w:w="15" w:type="dxa"/>
              <w:left w:w="15" w:type="dxa"/>
              <w:right w:w="15" w:type="dxa"/>
            </w:tcMar>
            <w:vAlign w:val="center"/>
          </w:tcPr>
          <w:p>
            <w:pPr>
              <w:pStyle w:val="67"/>
              <w:ind w:left="0" w:leftChars="0" w:firstLine="0" w:firstLineChars="0"/>
              <w:rPr>
                <w:rFonts w:hint="eastAsia"/>
                <w:lang w:val="en-US" w:eastAsia="zh-CN"/>
              </w:rPr>
            </w:pPr>
            <w:r>
              <w:rPr>
                <w:rFonts w:hint="eastAsia"/>
              </w:rPr>
              <w:t>设计</w:t>
            </w:r>
          </w:p>
        </w:tc>
        <w:tc>
          <w:tcPr>
            <w:tcW w:w="305" w:type="pct"/>
            <w:shd w:val="clear" w:color="auto" w:fill="auto"/>
            <w:noWrap/>
            <w:tcMar>
              <w:top w:w="15" w:type="dxa"/>
              <w:left w:w="15" w:type="dxa"/>
              <w:right w:w="15" w:type="dxa"/>
            </w:tcMar>
            <w:vAlign w:val="center"/>
          </w:tcPr>
          <w:p>
            <w:pPr>
              <w:pStyle w:val="67"/>
              <w:ind w:left="0" w:leftChars="0" w:firstLine="0" w:firstLineChars="0"/>
              <w:rPr>
                <w:rFonts w:hint="default"/>
                <w:lang w:val="en-US" w:eastAsia="zh-CN"/>
              </w:rPr>
            </w:pPr>
            <w:r>
              <w:rPr>
                <w:rFonts w:hint="eastAsia"/>
                <w:lang w:val="en-US" w:eastAsia="zh-CN"/>
              </w:rPr>
              <w:t>8.0</w:t>
            </w:r>
          </w:p>
        </w:tc>
        <w:tc>
          <w:tcPr>
            <w:tcW w:w="605" w:type="pct"/>
            <w:shd w:val="clear" w:color="auto" w:fill="auto"/>
            <w:noWrap/>
            <w:tcMar>
              <w:top w:w="15" w:type="dxa"/>
              <w:left w:w="15" w:type="dxa"/>
              <w:right w:w="15" w:type="dxa"/>
            </w:tcMar>
            <w:vAlign w:val="center"/>
          </w:tcPr>
          <w:p>
            <w:pPr>
              <w:pStyle w:val="67"/>
              <w:ind w:left="0" w:leftChars="0" w:firstLine="0" w:firstLineChars="0"/>
              <w:rPr>
                <w:rFonts w:hint="eastAsia"/>
              </w:rPr>
            </w:pPr>
            <w:r>
              <w:rPr>
                <w:rFonts w:hint="eastAsia"/>
              </w:rPr>
              <w:t>上游常水位</w:t>
            </w:r>
          </w:p>
        </w:tc>
        <w:tc>
          <w:tcPr>
            <w:tcW w:w="349" w:type="pct"/>
            <w:shd w:val="clear" w:color="auto" w:fill="auto"/>
            <w:noWrap/>
            <w:tcMar>
              <w:top w:w="15" w:type="dxa"/>
              <w:left w:w="15" w:type="dxa"/>
              <w:right w:w="15" w:type="dxa"/>
            </w:tcMar>
            <w:vAlign w:val="center"/>
          </w:tcPr>
          <w:p>
            <w:pPr>
              <w:pStyle w:val="67"/>
              <w:ind w:left="0" w:leftChars="0" w:firstLine="0" w:firstLineChars="0"/>
              <w:rPr>
                <w:rFonts w:hint="default"/>
                <w:lang w:val="en-US" w:eastAsia="zh-CN"/>
              </w:rPr>
            </w:pPr>
            <w:r>
              <w:rPr>
                <w:rFonts w:hint="eastAsia"/>
                <w:lang w:val="en-US" w:eastAsia="zh-CN"/>
              </w:rPr>
              <w:t>22.0</w:t>
            </w:r>
          </w:p>
        </w:tc>
        <w:tc>
          <w:tcPr>
            <w:tcW w:w="952" w:type="pct"/>
            <w:shd w:val="clear" w:color="auto" w:fill="auto"/>
            <w:noWrap/>
            <w:tcMar>
              <w:top w:w="15" w:type="dxa"/>
              <w:left w:w="15" w:type="dxa"/>
              <w:right w:w="15" w:type="dxa"/>
            </w:tcMar>
            <w:vAlign w:val="center"/>
          </w:tcPr>
          <w:p>
            <w:pPr>
              <w:pStyle w:val="67"/>
              <w:ind w:left="0" w:leftChars="0" w:firstLine="0" w:firstLineChars="0"/>
              <w:rPr>
                <w:rFonts w:hint="eastAsia"/>
                <w:lang w:val="en-US" w:eastAsia="zh-CN"/>
              </w:rPr>
            </w:pPr>
            <w:r>
              <w:rPr>
                <w:rFonts w:hint="eastAsia"/>
                <w:lang w:val="en-US" w:eastAsia="zh-CN"/>
              </w:rPr>
              <w:t>下</w:t>
            </w:r>
            <w:r>
              <w:rPr>
                <w:rFonts w:hint="eastAsia"/>
              </w:rPr>
              <w:t>游常水位</w:t>
            </w:r>
          </w:p>
        </w:tc>
        <w:tc>
          <w:tcPr>
            <w:tcW w:w="1580" w:type="pct"/>
            <w:shd w:val="clear" w:color="auto" w:fill="auto"/>
            <w:noWrap/>
            <w:tcMar>
              <w:top w:w="15" w:type="dxa"/>
              <w:left w:w="15" w:type="dxa"/>
              <w:right w:w="15" w:type="dxa"/>
            </w:tcMar>
            <w:vAlign w:val="center"/>
          </w:tcPr>
          <w:p>
            <w:pPr>
              <w:pStyle w:val="67"/>
              <w:ind w:left="0" w:leftChars="0" w:firstLine="0" w:firstLineChars="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586" w:type="pct"/>
            <w:vMerge w:val="continue"/>
            <w:shd w:val="clear" w:color="auto" w:fill="auto"/>
            <w:noWrap/>
            <w:tcMar>
              <w:top w:w="15" w:type="dxa"/>
              <w:left w:w="15" w:type="dxa"/>
              <w:right w:w="15" w:type="dxa"/>
            </w:tcMar>
            <w:vAlign w:val="center"/>
          </w:tcPr>
          <w:p>
            <w:pPr>
              <w:pStyle w:val="67"/>
            </w:pPr>
          </w:p>
        </w:tc>
        <w:tc>
          <w:tcPr>
            <w:tcW w:w="621" w:type="pct"/>
            <w:shd w:val="clear" w:color="auto" w:fill="auto"/>
            <w:noWrap/>
            <w:tcMar>
              <w:top w:w="15" w:type="dxa"/>
              <w:left w:w="15" w:type="dxa"/>
              <w:right w:w="15" w:type="dxa"/>
            </w:tcMar>
            <w:vAlign w:val="center"/>
          </w:tcPr>
          <w:p>
            <w:pPr>
              <w:pStyle w:val="67"/>
              <w:ind w:left="0" w:leftChars="0" w:firstLine="0" w:firstLineChars="0"/>
              <w:rPr>
                <w:rFonts w:hint="eastAsia"/>
                <w:lang w:val="en-US" w:eastAsia="zh-CN"/>
              </w:rPr>
            </w:pPr>
            <w:r>
              <w:rPr>
                <w:rFonts w:hint="eastAsia"/>
              </w:rPr>
              <w:t>校核</w:t>
            </w:r>
          </w:p>
        </w:tc>
        <w:tc>
          <w:tcPr>
            <w:tcW w:w="305" w:type="pct"/>
            <w:shd w:val="clear" w:color="auto" w:fill="auto"/>
            <w:noWrap/>
            <w:tcMar>
              <w:top w:w="15" w:type="dxa"/>
              <w:left w:w="15" w:type="dxa"/>
              <w:right w:w="15" w:type="dxa"/>
            </w:tcMar>
            <w:vAlign w:val="center"/>
          </w:tcPr>
          <w:p>
            <w:pPr>
              <w:pStyle w:val="67"/>
              <w:ind w:left="0" w:leftChars="0" w:firstLine="0" w:firstLineChars="0"/>
              <w:rPr>
                <w:rFonts w:hint="default"/>
                <w:lang w:val="en-US" w:eastAsia="zh-CN"/>
              </w:rPr>
            </w:pPr>
            <w:r>
              <w:rPr>
                <w:rFonts w:hint="eastAsia"/>
                <w:lang w:val="en-US" w:eastAsia="zh-CN"/>
              </w:rPr>
              <w:t>7.5</w:t>
            </w:r>
          </w:p>
        </w:tc>
        <w:tc>
          <w:tcPr>
            <w:tcW w:w="605" w:type="pct"/>
            <w:shd w:val="clear" w:color="auto" w:fill="auto"/>
            <w:noWrap/>
            <w:tcMar>
              <w:top w:w="15" w:type="dxa"/>
              <w:left w:w="15" w:type="dxa"/>
              <w:right w:w="15" w:type="dxa"/>
            </w:tcMar>
            <w:vAlign w:val="center"/>
          </w:tcPr>
          <w:p>
            <w:pPr>
              <w:pStyle w:val="67"/>
              <w:ind w:left="0" w:leftChars="0" w:firstLine="0" w:firstLineChars="0"/>
              <w:rPr>
                <w:rFonts w:hint="eastAsia"/>
              </w:rPr>
            </w:pPr>
            <w:r>
              <w:rPr>
                <w:rFonts w:hint="eastAsia"/>
              </w:rPr>
              <w:t>上游</w:t>
            </w:r>
            <w:r>
              <w:rPr>
                <w:rFonts w:hint="eastAsia"/>
                <w:lang w:val="en-US" w:eastAsia="zh-CN"/>
              </w:rPr>
              <w:t>高</w:t>
            </w:r>
            <w:r>
              <w:rPr>
                <w:rFonts w:hint="eastAsia"/>
              </w:rPr>
              <w:t>水位</w:t>
            </w:r>
          </w:p>
        </w:tc>
        <w:tc>
          <w:tcPr>
            <w:tcW w:w="349" w:type="pct"/>
            <w:shd w:val="clear" w:color="auto" w:fill="auto"/>
            <w:noWrap/>
            <w:tcMar>
              <w:top w:w="15" w:type="dxa"/>
              <w:left w:w="15" w:type="dxa"/>
              <w:right w:w="15" w:type="dxa"/>
            </w:tcMar>
            <w:vAlign w:val="center"/>
          </w:tcPr>
          <w:p>
            <w:pPr>
              <w:pStyle w:val="67"/>
              <w:ind w:left="0" w:leftChars="0" w:firstLine="0" w:firstLineChars="0"/>
              <w:rPr>
                <w:rFonts w:hint="default"/>
                <w:lang w:val="en-US" w:eastAsia="zh-CN"/>
              </w:rPr>
            </w:pPr>
            <w:r>
              <w:rPr>
                <w:rFonts w:hint="eastAsia"/>
                <w:lang w:val="en-US" w:eastAsia="zh-CN"/>
              </w:rPr>
              <w:t>22.0</w:t>
            </w:r>
          </w:p>
        </w:tc>
        <w:tc>
          <w:tcPr>
            <w:tcW w:w="952" w:type="pct"/>
            <w:shd w:val="clear" w:color="auto" w:fill="auto"/>
            <w:noWrap/>
            <w:tcMar>
              <w:top w:w="15" w:type="dxa"/>
              <w:left w:w="15" w:type="dxa"/>
              <w:right w:w="15" w:type="dxa"/>
            </w:tcMar>
            <w:vAlign w:val="center"/>
          </w:tcPr>
          <w:p>
            <w:pPr>
              <w:pStyle w:val="67"/>
              <w:ind w:left="0" w:leftChars="0" w:firstLine="0" w:firstLineChars="0"/>
              <w:rPr>
                <w:rFonts w:hint="eastAsia"/>
                <w:lang w:val="en-US" w:eastAsia="zh-CN"/>
              </w:rPr>
            </w:pPr>
            <w:r>
              <w:rPr>
                <w:rFonts w:hint="eastAsia"/>
                <w:lang w:val="en-US" w:eastAsia="zh-CN"/>
              </w:rPr>
              <w:t>下</w:t>
            </w:r>
            <w:r>
              <w:rPr>
                <w:rFonts w:hint="eastAsia"/>
              </w:rPr>
              <w:t>游常水位</w:t>
            </w:r>
          </w:p>
        </w:tc>
        <w:tc>
          <w:tcPr>
            <w:tcW w:w="1580" w:type="pct"/>
            <w:shd w:val="clear" w:color="auto" w:fill="auto"/>
            <w:noWrap/>
            <w:tcMar>
              <w:top w:w="15" w:type="dxa"/>
              <w:left w:w="15" w:type="dxa"/>
              <w:right w:w="15" w:type="dxa"/>
            </w:tcMar>
            <w:vAlign w:val="center"/>
          </w:tcPr>
          <w:p>
            <w:pPr>
              <w:pStyle w:val="67"/>
              <w:ind w:left="0" w:leftChars="0" w:firstLine="0" w:firstLineChars="0"/>
              <w:rPr>
                <w:rFonts w:hint="eastAsia"/>
                <w:lang w:val="en-US" w:eastAsia="zh-CN"/>
              </w:rPr>
            </w:pPr>
            <w:r>
              <w:rPr>
                <w:rFonts w:hint="eastAsia"/>
                <w:lang w:val="en-US" w:eastAsia="zh-CN"/>
              </w:rPr>
              <w:t>/</w:t>
            </w:r>
          </w:p>
        </w:tc>
      </w:tr>
    </w:tbl>
    <w:p>
      <w:pPr>
        <w:pStyle w:val="5"/>
        <w:keepNext w:val="0"/>
        <w:rPr>
          <w:rFonts w:hint="eastAsia"/>
        </w:rPr>
      </w:pPr>
      <w:r>
        <w:rPr>
          <w:rFonts w:hint="eastAsia"/>
        </w:rPr>
        <w:t>4.3稳定安全系数及主要计算成果</w:t>
      </w:r>
    </w:p>
    <w:p>
      <w:pPr>
        <w:pStyle w:val="66"/>
        <w:ind w:firstLine="480"/>
        <w:rPr>
          <w:rFonts w:hint="eastAsia"/>
          <w:highlight w:val="none"/>
        </w:rPr>
      </w:pPr>
      <w:r>
        <w:rPr>
          <w:rFonts w:hint="eastAsia"/>
          <w:highlight w:val="none"/>
        </w:rPr>
        <w:t xml:space="preserve"> 表 </w:t>
      </w:r>
      <w:r>
        <w:rPr>
          <w:rFonts w:hint="eastAsia"/>
          <w:highlight w:val="none"/>
          <w:lang w:val="en-US" w:eastAsia="zh-CN"/>
        </w:rPr>
        <w:t>4</w:t>
      </w:r>
      <w:r>
        <w:rPr>
          <w:highlight w:val="none"/>
        </w:rPr>
        <w:noBreakHyphen/>
      </w:r>
      <w:r>
        <w:rPr>
          <w:rFonts w:hint="eastAsia"/>
          <w:highlight w:val="none"/>
          <w:lang w:val="en-US" w:eastAsia="zh-CN"/>
        </w:rPr>
        <w:t>3</w:t>
      </w:r>
      <w:r>
        <w:rPr>
          <w:rFonts w:hint="eastAsia"/>
          <w:highlight w:val="none"/>
        </w:rPr>
        <w:t xml:space="preserve"> 滚水坝稳定计算成果表</w:t>
      </w:r>
    </w:p>
    <w:tbl>
      <w:tblPr>
        <w:tblStyle w:val="19"/>
        <w:tblW w:w="4997" w:type="pct"/>
        <w:jc w:val="center"/>
        <w:tblLayout w:type="autofit"/>
        <w:tblCellMar>
          <w:top w:w="0" w:type="dxa"/>
          <w:left w:w="0" w:type="dxa"/>
          <w:bottom w:w="0" w:type="dxa"/>
          <w:right w:w="0" w:type="dxa"/>
        </w:tblCellMar>
      </w:tblPr>
      <w:tblGrid>
        <w:gridCol w:w="1025"/>
        <w:gridCol w:w="796"/>
        <w:gridCol w:w="733"/>
        <w:gridCol w:w="930"/>
        <w:gridCol w:w="821"/>
        <w:gridCol w:w="818"/>
        <w:gridCol w:w="680"/>
        <w:gridCol w:w="640"/>
        <w:gridCol w:w="640"/>
        <w:gridCol w:w="680"/>
        <w:gridCol w:w="638"/>
        <w:gridCol w:w="779"/>
      </w:tblGrid>
      <w:tr>
        <w:tblPrEx>
          <w:tblCellMar>
            <w:top w:w="0" w:type="dxa"/>
            <w:left w:w="0" w:type="dxa"/>
            <w:bottom w:w="0" w:type="dxa"/>
            <w:right w:w="0" w:type="dxa"/>
          </w:tblCellMar>
        </w:tblPrEx>
        <w:trPr>
          <w:trHeight w:val="20" w:hRule="atLeast"/>
          <w:jc w:val="center"/>
        </w:trPr>
        <w:tc>
          <w:tcPr>
            <w:tcW w:w="558"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计算工况</w:t>
            </w:r>
          </w:p>
        </w:tc>
        <w:tc>
          <w:tcPr>
            <w:tcW w:w="832" w:type="pct"/>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水位组合(m)</w:t>
            </w:r>
          </w:p>
        </w:tc>
        <w:tc>
          <w:tcPr>
            <w:tcW w:w="506"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垂直力</w:t>
            </w:r>
            <w:r>
              <w:rPr>
                <w:bCs/>
                <w:sz w:val="21"/>
                <w:szCs w:val="21"/>
              </w:rPr>
              <w:t>(</w:t>
            </w:r>
            <w:r>
              <w:rPr>
                <w:rFonts w:hint="eastAsia"/>
                <w:bCs/>
                <w:sz w:val="21"/>
                <w:szCs w:val="21"/>
              </w:rPr>
              <w:t>k</w:t>
            </w:r>
            <w:r>
              <w:rPr>
                <w:bCs/>
                <w:sz w:val="21"/>
                <w:szCs w:val="21"/>
              </w:rPr>
              <w:t>N)</w:t>
            </w:r>
          </w:p>
        </w:tc>
        <w:tc>
          <w:tcPr>
            <w:tcW w:w="447"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水平力</w:t>
            </w:r>
            <w:r>
              <w:rPr>
                <w:bCs/>
                <w:sz w:val="21"/>
                <w:szCs w:val="21"/>
              </w:rPr>
              <w:t>(</w:t>
            </w:r>
            <w:r>
              <w:rPr>
                <w:rFonts w:hint="eastAsia"/>
                <w:bCs/>
                <w:sz w:val="21"/>
                <w:szCs w:val="21"/>
              </w:rPr>
              <w:t>k</w:t>
            </w:r>
            <w:r>
              <w:rPr>
                <w:bCs/>
                <w:sz w:val="21"/>
                <w:szCs w:val="21"/>
              </w:rPr>
              <w:t>N)</w:t>
            </w:r>
          </w:p>
        </w:tc>
        <w:tc>
          <w:tcPr>
            <w:tcW w:w="445"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偏心距</w:t>
            </w:r>
            <w:r>
              <w:rPr>
                <w:bCs/>
                <w:sz w:val="21"/>
                <w:szCs w:val="21"/>
              </w:rPr>
              <w:t>(m)</w:t>
            </w:r>
          </w:p>
        </w:tc>
        <w:tc>
          <w:tcPr>
            <w:tcW w:w="718" w:type="pct"/>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地基反力</w:t>
            </w:r>
            <w:r>
              <w:rPr>
                <w:bCs/>
                <w:sz w:val="21"/>
                <w:szCs w:val="21"/>
              </w:rPr>
              <w:t>(</w:t>
            </w:r>
            <w:r>
              <w:rPr>
                <w:rFonts w:hint="eastAsia"/>
                <w:bCs/>
                <w:sz w:val="21"/>
                <w:szCs w:val="21"/>
              </w:rPr>
              <w:t>k</w:t>
            </w:r>
            <w:r>
              <w:rPr>
                <w:bCs/>
                <w:sz w:val="21"/>
                <w:szCs w:val="21"/>
              </w:rPr>
              <w:t>Pa)</w:t>
            </w:r>
          </w:p>
        </w:tc>
        <w:tc>
          <w:tcPr>
            <w:tcW w:w="348"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不均匀系数</w:t>
            </w:r>
          </w:p>
        </w:tc>
        <w:tc>
          <w:tcPr>
            <w:tcW w:w="370" w:type="pct"/>
            <w:vMerge w:val="restart"/>
            <w:tcBorders>
              <w:top w:val="single" w:color="auto" w:sz="4" w:space="0"/>
              <w:left w:val="single" w:color="auto" w:sz="4" w:space="0"/>
              <w:right w:val="single" w:color="auto" w:sz="4" w:space="0"/>
            </w:tcBorders>
            <w:noWrap w:val="0"/>
            <w:vAlign w:val="top"/>
          </w:tcPr>
          <w:p>
            <w:pPr>
              <w:spacing w:line="240" w:lineRule="atLeast"/>
              <w:ind w:firstLine="0" w:firstLineChars="0"/>
              <w:jc w:val="center"/>
              <w:rPr>
                <w:bCs/>
                <w:sz w:val="21"/>
                <w:szCs w:val="21"/>
              </w:rPr>
            </w:pPr>
            <w:r>
              <w:rPr>
                <w:rFonts w:hint="eastAsia"/>
                <w:bCs/>
                <w:sz w:val="21"/>
                <w:szCs w:val="21"/>
              </w:rPr>
              <w:t>允许</w:t>
            </w:r>
          </w:p>
          <w:p>
            <w:pPr>
              <w:spacing w:line="240" w:lineRule="atLeast"/>
              <w:ind w:firstLine="0" w:firstLineChars="0"/>
              <w:jc w:val="center"/>
              <w:rPr>
                <w:bCs/>
                <w:sz w:val="21"/>
                <w:szCs w:val="21"/>
              </w:rPr>
            </w:pPr>
            <w:r>
              <w:rPr>
                <w:rFonts w:hint="eastAsia"/>
                <w:bCs/>
                <w:sz w:val="21"/>
                <w:szCs w:val="21"/>
              </w:rPr>
              <w:t>不均匀</w:t>
            </w:r>
          </w:p>
          <w:p>
            <w:pPr>
              <w:spacing w:line="240" w:lineRule="atLeast"/>
              <w:ind w:firstLine="0" w:firstLineChars="0"/>
              <w:jc w:val="center"/>
              <w:rPr>
                <w:bCs/>
                <w:sz w:val="21"/>
                <w:szCs w:val="21"/>
              </w:rPr>
            </w:pPr>
            <w:r>
              <w:rPr>
                <w:rFonts w:hint="eastAsia"/>
                <w:bCs/>
                <w:sz w:val="21"/>
                <w:szCs w:val="21"/>
              </w:rPr>
              <w:t>系数</w:t>
            </w:r>
          </w:p>
        </w:tc>
        <w:tc>
          <w:tcPr>
            <w:tcW w:w="347"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抗滑安全系数</w:t>
            </w:r>
          </w:p>
        </w:tc>
        <w:tc>
          <w:tcPr>
            <w:tcW w:w="424"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容许抗滑安全系数</w:t>
            </w:r>
          </w:p>
        </w:tc>
      </w:tr>
      <w:tr>
        <w:tblPrEx>
          <w:tblCellMar>
            <w:top w:w="0" w:type="dxa"/>
            <w:left w:w="0" w:type="dxa"/>
            <w:bottom w:w="0" w:type="dxa"/>
            <w:right w:w="0" w:type="dxa"/>
          </w:tblCellMar>
        </w:tblPrEx>
        <w:trPr>
          <w:trHeight w:val="20" w:hRule="atLeast"/>
          <w:jc w:val="center"/>
        </w:trPr>
        <w:tc>
          <w:tcPr>
            <w:tcW w:w="558" w:type="pct"/>
            <w:vMerge w:val="continue"/>
            <w:tcBorders>
              <w:top w:val="nil"/>
              <w:left w:val="single" w:color="auto" w:sz="4" w:space="0"/>
              <w:bottom w:val="single" w:color="auto" w:sz="4" w:space="0"/>
              <w:right w:val="single" w:color="auto" w:sz="4" w:space="0"/>
            </w:tcBorders>
            <w:noWrap w:val="0"/>
            <w:vAlign w:val="center"/>
          </w:tcPr>
          <w:p>
            <w:pPr>
              <w:spacing w:line="240" w:lineRule="atLeast"/>
              <w:ind w:firstLine="0" w:firstLineChars="0"/>
              <w:jc w:val="center"/>
              <w:rPr>
                <w:bCs/>
                <w:sz w:val="21"/>
                <w:szCs w:val="21"/>
              </w:rPr>
            </w:pPr>
          </w:p>
        </w:tc>
        <w:tc>
          <w:tcPr>
            <w:tcW w:w="433"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上游</w:t>
            </w:r>
          </w:p>
        </w:tc>
        <w:tc>
          <w:tcPr>
            <w:tcW w:w="399"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下游</w:t>
            </w:r>
          </w:p>
        </w:tc>
        <w:tc>
          <w:tcPr>
            <w:tcW w:w="506" w:type="pct"/>
            <w:vMerge w:val="continue"/>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p>
        </w:tc>
        <w:tc>
          <w:tcPr>
            <w:tcW w:w="447" w:type="pct"/>
            <w:vMerge w:val="continue"/>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p>
        </w:tc>
        <w:tc>
          <w:tcPr>
            <w:tcW w:w="445" w:type="pct"/>
            <w:vMerge w:val="continue"/>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p>
        </w:tc>
        <w:tc>
          <w:tcPr>
            <w:tcW w:w="370"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σ</w:t>
            </w:r>
            <w:r>
              <w:rPr>
                <w:bCs/>
                <w:sz w:val="21"/>
                <w:szCs w:val="21"/>
              </w:rPr>
              <w:t>max</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σ</w:t>
            </w:r>
            <w:r>
              <w:rPr>
                <w:bCs/>
                <w:sz w:val="21"/>
                <w:szCs w:val="21"/>
              </w:rPr>
              <w:t>min</w:t>
            </w:r>
          </w:p>
        </w:tc>
        <w:tc>
          <w:tcPr>
            <w:tcW w:w="348" w:type="pct"/>
            <w:vMerge w:val="continue"/>
            <w:tcBorders>
              <w:top w:val="nil"/>
              <w:left w:val="single" w:color="auto" w:sz="4" w:space="0"/>
              <w:bottom w:val="single" w:color="auto" w:sz="4" w:space="0"/>
              <w:right w:val="single" w:color="auto" w:sz="4" w:space="0"/>
            </w:tcBorders>
            <w:noWrap w:val="0"/>
            <w:vAlign w:val="center"/>
          </w:tcPr>
          <w:p>
            <w:pPr>
              <w:spacing w:line="240" w:lineRule="atLeast"/>
              <w:ind w:firstLine="0" w:firstLineChars="0"/>
              <w:jc w:val="center"/>
              <w:rPr>
                <w:bCs/>
                <w:sz w:val="21"/>
                <w:szCs w:val="21"/>
              </w:rPr>
            </w:pPr>
          </w:p>
        </w:tc>
        <w:tc>
          <w:tcPr>
            <w:tcW w:w="370" w:type="pct"/>
            <w:vMerge w:val="continue"/>
            <w:tcBorders>
              <w:left w:val="single" w:color="auto" w:sz="4" w:space="0"/>
              <w:bottom w:val="single" w:color="auto" w:sz="4" w:space="0"/>
              <w:right w:val="single" w:color="auto" w:sz="4" w:space="0"/>
            </w:tcBorders>
            <w:noWrap w:val="0"/>
            <w:vAlign w:val="top"/>
          </w:tcPr>
          <w:p>
            <w:pPr>
              <w:spacing w:line="240" w:lineRule="atLeast"/>
              <w:ind w:firstLine="0" w:firstLineChars="0"/>
              <w:jc w:val="center"/>
              <w:rPr>
                <w:bCs/>
                <w:sz w:val="21"/>
                <w:szCs w:val="21"/>
              </w:rPr>
            </w:pPr>
          </w:p>
        </w:tc>
        <w:tc>
          <w:tcPr>
            <w:tcW w:w="347" w:type="pct"/>
            <w:vMerge w:val="continue"/>
            <w:tcBorders>
              <w:top w:val="nil"/>
              <w:left w:val="single" w:color="auto" w:sz="4" w:space="0"/>
              <w:bottom w:val="single" w:color="auto" w:sz="4" w:space="0"/>
              <w:right w:val="single" w:color="auto" w:sz="4" w:space="0"/>
            </w:tcBorders>
            <w:noWrap w:val="0"/>
            <w:vAlign w:val="center"/>
          </w:tcPr>
          <w:p>
            <w:pPr>
              <w:spacing w:line="240" w:lineRule="atLeast"/>
              <w:ind w:firstLine="0" w:firstLineChars="0"/>
              <w:jc w:val="center"/>
              <w:rPr>
                <w:bCs/>
                <w:sz w:val="21"/>
                <w:szCs w:val="21"/>
              </w:rPr>
            </w:pPr>
          </w:p>
        </w:tc>
        <w:tc>
          <w:tcPr>
            <w:tcW w:w="424" w:type="pct"/>
            <w:vMerge w:val="continue"/>
            <w:tcBorders>
              <w:top w:val="nil"/>
              <w:left w:val="single" w:color="auto" w:sz="4" w:space="0"/>
              <w:bottom w:val="single" w:color="auto" w:sz="4" w:space="0"/>
              <w:right w:val="single" w:color="auto" w:sz="4" w:space="0"/>
            </w:tcBorders>
            <w:noWrap w:val="0"/>
            <w:vAlign w:val="center"/>
          </w:tcPr>
          <w:p>
            <w:pPr>
              <w:spacing w:line="240" w:lineRule="atLeast"/>
              <w:ind w:firstLine="0" w:firstLineChars="0"/>
              <w:jc w:val="center"/>
              <w:rPr>
                <w:bCs/>
                <w:sz w:val="21"/>
                <w:szCs w:val="21"/>
              </w:rPr>
            </w:pPr>
          </w:p>
        </w:tc>
      </w:tr>
      <w:tr>
        <w:tblPrEx>
          <w:tblCellMar>
            <w:top w:w="0" w:type="dxa"/>
            <w:left w:w="0" w:type="dxa"/>
            <w:bottom w:w="0" w:type="dxa"/>
            <w:right w:w="0" w:type="dxa"/>
          </w:tblCellMar>
        </w:tblPrEx>
        <w:trPr>
          <w:trHeight w:val="20" w:hRule="atLeast"/>
          <w:jc w:val="center"/>
        </w:trPr>
        <w:tc>
          <w:tcPr>
            <w:tcW w:w="558"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完建期</w:t>
            </w:r>
          </w:p>
        </w:tc>
        <w:tc>
          <w:tcPr>
            <w:tcW w:w="433"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无水</w:t>
            </w:r>
          </w:p>
        </w:tc>
        <w:tc>
          <w:tcPr>
            <w:tcW w:w="399"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无水</w:t>
            </w:r>
          </w:p>
        </w:tc>
        <w:tc>
          <w:tcPr>
            <w:tcW w:w="506"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3</w:t>
            </w:r>
            <w:r>
              <w:rPr>
                <w:rFonts w:hint="eastAsia"/>
                <w:bCs/>
                <w:sz w:val="21"/>
                <w:szCs w:val="21"/>
                <w:lang w:val="en-US" w:eastAsia="zh-CN"/>
              </w:rPr>
              <w:t>5</w:t>
            </w:r>
            <w:r>
              <w:rPr>
                <w:rFonts w:hint="eastAsia"/>
                <w:bCs/>
                <w:sz w:val="21"/>
                <w:szCs w:val="21"/>
              </w:rPr>
              <w:t>005.9</w:t>
            </w:r>
          </w:p>
        </w:tc>
        <w:tc>
          <w:tcPr>
            <w:tcW w:w="447"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bCs/>
                <w:sz w:val="21"/>
                <w:szCs w:val="21"/>
              </w:rPr>
              <w:t>/</w:t>
            </w:r>
          </w:p>
        </w:tc>
        <w:tc>
          <w:tcPr>
            <w:tcW w:w="445"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0.11</w:t>
            </w:r>
          </w:p>
        </w:tc>
        <w:tc>
          <w:tcPr>
            <w:tcW w:w="370"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lang w:val="en-US" w:eastAsia="zh-CN"/>
              </w:rPr>
              <w:t>76</w:t>
            </w:r>
            <w:r>
              <w:rPr>
                <w:rFonts w:hint="eastAsia"/>
                <w:bCs/>
                <w:sz w:val="21"/>
                <w:szCs w:val="21"/>
              </w:rPr>
              <w:t>.9</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bCs/>
                <w:sz w:val="21"/>
                <w:szCs w:val="21"/>
              </w:rPr>
              <w:t>6</w:t>
            </w:r>
            <w:r>
              <w:rPr>
                <w:rFonts w:hint="eastAsia"/>
                <w:bCs/>
                <w:sz w:val="21"/>
                <w:szCs w:val="21"/>
                <w:lang w:val="en-US" w:eastAsia="zh-CN"/>
              </w:rPr>
              <w:t>0</w:t>
            </w:r>
            <w:r>
              <w:rPr>
                <w:rFonts w:hint="eastAsia"/>
                <w:bCs/>
                <w:sz w:val="21"/>
                <w:szCs w:val="21"/>
              </w:rPr>
              <w:t>.8</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1.1</w:t>
            </w:r>
            <w:r>
              <w:rPr>
                <w:bCs/>
                <w:sz w:val="21"/>
                <w:szCs w:val="21"/>
              </w:rPr>
              <w:t>3</w:t>
            </w:r>
          </w:p>
        </w:tc>
        <w:tc>
          <w:tcPr>
            <w:tcW w:w="370" w:type="pct"/>
            <w:tcBorders>
              <w:top w:val="nil"/>
              <w:left w:val="nil"/>
              <w:bottom w:val="single" w:color="auto" w:sz="4" w:space="0"/>
              <w:right w:val="single" w:color="auto" w:sz="4" w:space="0"/>
            </w:tcBorders>
            <w:noWrap w:val="0"/>
            <w:vAlign w:val="top"/>
          </w:tcPr>
          <w:p>
            <w:pPr>
              <w:spacing w:line="240" w:lineRule="atLeast"/>
              <w:ind w:firstLine="0" w:firstLineChars="0"/>
              <w:jc w:val="center"/>
              <w:rPr>
                <w:bCs/>
                <w:sz w:val="21"/>
                <w:szCs w:val="21"/>
              </w:rPr>
            </w:pPr>
            <w:r>
              <w:rPr>
                <w:rFonts w:hint="eastAsia"/>
                <w:bCs/>
                <w:sz w:val="21"/>
                <w:szCs w:val="21"/>
              </w:rPr>
              <w:t>2.00</w:t>
            </w:r>
          </w:p>
        </w:tc>
        <w:tc>
          <w:tcPr>
            <w:tcW w:w="347"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bCs/>
                <w:sz w:val="21"/>
                <w:szCs w:val="21"/>
              </w:rPr>
              <w:t>/</w:t>
            </w:r>
          </w:p>
        </w:tc>
        <w:tc>
          <w:tcPr>
            <w:tcW w:w="424"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1.</w:t>
            </w:r>
            <w:r>
              <w:rPr>
                <w:rFonts w:hint="eastAsia"/>
                <w:bCs/>
                <w:sz w:val="21"/>
                <w:szCs w:val="21"/>
                <w:lang w:val="en-US" w:eastAsia="zh-CN"/>
              </w:rPr>
              <w:t>05</w:t>
            </w:r>
          </w:p>
        </w:tc>
      </w:tr>
      <w:tr>
        <w:tblPrEx>
          <w:tblCellMar>
            <w:top w:w="0" w:type="dxa"/>
            <w:left w:w="0" w:type="dxa"/>
            <w:bottom w:w="0" w:type="dxa"/>
            <w:right w:w="0" w:type="dxa"/>
          </w:tblCellMar>
        </w:tblPrEx>
        <w:trPr>
          <w:trHeight w:val="20" w:hRule="atLeast"/>
          <w:jc w:val="center"/>
        </w:trPr>
        <w:tc>
          <w:tcPr>
            <w:tcW w:w="558"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保水工况</w:t>
            </w:r>
          </w:p>
        </w:tc>
        <w:tc>
          <w:tcPr>
            <w:tcW w:w="79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pStyle w:val="67"/>
              <w:ind w:left="0" w:leftChars="0" w:firstLine="0" w:firstLineChars="0"/>
              <w:rPr>
                <w:rFonts w:hint="default" w:eastAsia="宋体"/>
                <w:bCs/>
                <w:sz w:val="21"/>
                <w:szCs w:val="21"/>
                <w:lang w:val="en-US" w:eastAsia="zh-CN"/>
              </w:rPr>
            </w:pPr>
            <w:r>
              <w:rPr>
                <w:rFonts w:hint="eastAsia"/>
                <w:lang w:val="en-US" w:eastAsia="zh-CN"/>
              </w:rPr>
              <w:t>13.5</w:t>
            </w:r>
          </w:p>
        </w:tc>
        <w:tc>
          <w:tcPr>
            <w:tcW w:w="733"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pStyle w:val="67"/>
              <w:ind w:left="0" w:leftChars="0" w:firstLine="0" w:firstLineChars="0"/>
              <w:rPr>
                <w:rFonts w:hint="default" w:eastAsia="宋体"/>
                <w:bCs/>
                <w:sz w:val="21"/>
                <w:szCs w:val="21"/>
                <w:lang w:val="en-US" w:eastAsia="zh-CN"/>
              </w:rPr>
            </w:pPr>
            <w:r>
              <w:rPr>
                <w:rFonts w:hint="eastAsia"/>
                <w:lang w:val="en-US" w:eastAsia="zh-CN"/>
              </w:rPr>
              <w:t>11.34</w:t>
            </w:r>
          </w:p>
        </w:tc>
        <w:tc>
          <w:tcPr>
            <w:tcW w:w="506"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3</w:t>
            </w:r>
            <w:r>
              <w:rPr>
                <w:rFonts w:hint="eastAsia"/>
                <w:bCs/>
                <w:sz w:val="21"/>
                <w:szCs w:val="21"/>
                <w:lang w:val="en-US" w:eastAsia="zh-CN"/>
              </w:rPr>
              <w:t>1</w:t>
            </w:r>
            <w:r>
              <w:rPr>
                <w:rFonts w:hint="eastAsia"/>
                <w:bCs/>
                <w:sz w:val="21"/>
                <w:szCs w:val="21"/>
              </w:rPr>
              <w:t>986.4</w:t>
            </w:r>
          </w:p>
        </w:tc>
        <w:tc>
          <w:tcPr>
            <w:tcW w:w="447"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1</w:t>
            </w:r>
            <w:r>
              <w:rPr>
                <w:rFonts w:hint="eastAsia"/>
                <w:bCs/>
                <w:sz w:val="21"/>
                <w:szCs w:val="21"/>
                <w:lang w:val="en-US" w:eastAsia="zh-CN"/>
              </w:rPr>
              <w:t>5</w:t>
            </w:r>
            <w:r>
              <w:rPr>
                <w:rFonts w:hint="eastAsia"/>
                <w:bCs/>
                <w:sz w:val="21"/>
                <w:szCs w:val="21"/>
              </w:rPr>
              <w:t>95.5</w:t>
            </w:r>
          </w:p>
        </w:tc>
        <w:tc>
          <w:tcPr>
            <w:tcW w:w="445"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0.48</w:t>
            </w:r>
          </w:p>
        </w:tc>
        <w:tc>
          <w:tcPr>
            <w:tcW w:w="370"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lang w:val="en-US" w:eastAsia="zh-CN"/>
              </w:rPr>
              <w:t>73</w:t>
            </w:r>
            <w:r>
              <w:rPr>
                <w:rFonts w:hint="eastAsia"/>
                <w:bCs/>
                <w:sz w:val="21"/>
                <w:szCs w:val="21"/>
              </w:rPr>
              <w:t>.5</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bCs/>
                <w:sz w:val="21"/>
                <w:szCs w:val="21"/>
              </w:rPr>
              <w:t>6</w:t>
            </w:r>
            <w:r>
              <w:rPr>
                <w:rFonts w:hint="eastAsia"/>
                <w:bCs/>
                <w:sz w:val="21"/>
                <w:szCs w:val="21"/>
                <w:lang w:val="en-US" w:eastAsia="zh-CN"/>
              </w:rPr>
              <w:t>0.1</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1.33</w:t>
            </w:r>
          </w:p>
        </w:tc>
        <w:tc>
          <w:tcPr>
            <w:tcW w:w="370" w:type="pct"/>
            <w:tcBorders>
              <w:top w:val="nil"/>
              <w:left w:val="nil"/>
              <w:bottom w:val="single" w:color="auto" w:sz="4" w:space="0"/>
              <w:right w:val="single" w:color="auto" w:sz="4" w:space="0"/>
            </w:tcBorders>
            <w:noWrap w:val="0"/>
            <w:vAlign w:val="top"/>
          </w:tcPr>
          <w:p>
            <w:pPr>
              <w:spacing w:line="240" w:lineRule="atLeast"/>
              <w:ind w:firstLine="0" w:firstLineChars="0"/>
              <w:jc w:val="center"/>
              <w:rPr>
                <w:bCs/>
                <w:sz w:val="21"/>
                <w:szCs w:val="21"/>
              </w:rPr>
            </w:pPr>
            <w:r>
              <w:rPr>
                <w:rFonts w:hint="eastAsia"/>
                <w:bCs/>
                <w:sz w:val="21"/>
                <w:szCs w:val="21"/>
              </w:rPr>
              <w:t>2.00</w:t>
            </w:r>
          </w:p>
        </w:tc>
        <w:tc>
          <w:tcPr>
            <w:tcW w:w="347"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2</w:t>
            </w:r>
            <w:r>
              <w:rPr>
                <w:rFonts w:hint="eastAsia"/>
                <w:bCs/>
                <w:sz w:val="21"/>
                <w:szCs w:val="21"/>
              </w:rPr>
              <w:t>.</w:t>
            </w:r>
            <w:r>
              <w:rPr>
                <w:rFonts w:hint="eastAsia"/>
                <w:bCs/>
                <w:sz w:val="21"/>
                <w:szCs w:val="21"/>
                <w:lang w:val="en-US" w:eastAsia="zh-CN"/>
              </w:rPr>
              <w:t>15</w:t>
            </w:r>
          </w:p>
        </w:tc>
        <w:tc>
          <w:tcPr>
            <w:tcW w:w="424"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1.</w:t>
            </w:r>
            <w:r>
              <w:rPr>
                <w:rFonts w:hint="eastAsia"/>
                <w:bCs/>
                <w:sz w:val="21"/>
                <w:szCs w:val="21"/>
                <w:lang w:val="en-US" w:eastAsia="zh-CN"/>
              </w:rPr>
              <w:t>15</w:t>
            </w:r>
          </w:p>
        </w:tc>
      </w:tr>
      <w:tr>
        <w:tblPrEx>
          <w:tblCellMar>
            <w:top w:w="0" w:type="dxa"/>
            <w:left w:w="0" w:type="dxa"/>
            <w:bottom w:w="0" w:type="dxa"/>
            <w:right w:w="0" w:type="dxa"/>
          </w:tblCellMar>
        </w:tblPrEx>
        <w:trPr>
          <w:trHeight w:val="20" w:hRule="atLeast"/>
          <w:jc w:val="center"/>
        </w:trPr>
        <w:tc>
          <w:tcPr>
            <w:tcW w:w="558"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lang w:val="en-US" w:eastAsia="zh-CN"/>
              </w:rPr>
              <w:t>行洪</w:t>
            </w:r>
            <w:r>
              <w:rPr>
                <w:rFonts w:hint="eastAsia"/>
                <w:bCs/>
                <w:sz w:val="21"/>
                <w:szCs w:val="21"/>
              </w:rPr>
              <w:t>工况</w:t>
            </w:r>
          </w:p>
        </w:tc>
        <w:tc>
          <w:tcPr>
            <w:tcW w:w="79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pStyle w:val="67"/>
              <w:ind w:left="0" w:leftChars="0" w:firstLine="0" w:firstLineChars="0"/>
              <w:rPr>
                <w:rFonts w:hint="default" w:eastAsia="宋体"/>
                <w:bCs/>
                <w:sz w:val="21"/>
                <w:szCs w:val="21"/>
                <w:lang w:val="en-US" w:eastAsia="zh-CN"/>
              </w:rPr>
            </w:pPr>
            <w:r>
              <w:rPr>
                <w:rFonts w:hint="eastAsia"/>
                <w:lang w:val="en-US" w:eastAsia="zh-CN"/>
              </w:rPr>
              <w:t>14.2</w:t>
            </w:r>
          </w:p>
        </w:tc>
        <w:tc>
          <w:tcPr>
            <w:tcW w:w="733"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pStyle w:val="67"/>
              <w:ind w:left="0" w:leftChars="0" w:firstLine="0" w:firstLineChars="0"/>
              <w:rPr>
                <w:rFonts w:hint="default" w:eastAsia="宋体"/>
                <w:bCs/>
                <w:sz w:val="21"/>
                <w:szCs w:val="21"/>
                <w:lang w:val="en-US" w:eastAsia="zh-CN"/>
              </w:rPr>
            </w:pPr>
            <w:r>
              <w:rPr>
                <w:rFonts w:hint="eastAsia"/>
                <w:lang w:val="en-US" w:eastAsia="zh-CN"/>
              </w:rPr>
              <w:t>11.34</w:t>
            </w:r>
          </w:p>
        </w:tc>
        <w:tc>
          <w:tcPr>
            <w:tcW w:w="506"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3</w:t>
            </w:r>
            <w:r>
              <w:rPr>
                <w:rFonts w:hint="eastAsia"/>
                <w:bCs/>
                <w:sz w:val="21"/>
                <w:szCs w:val="21"/>
                <w:lang w:val="en-US" w:eastAsia="zh-CN"/>
              </w:rPr>
              <w:t>0</w:t>
            </w:r>
            <w:r>
              <w:rPr>
                <w:rFonts w:hint="eastAsia"/>
                <w:bCs/>
                <w:sz w:val="21"/>
                <w:szCs w:val="21"/>
              </w:rPr>
              <w:t>589.8</w:t>
            </w:r>
          </w:p>
        </w:tc>
        <w:tc>
          <w:tcPr>
            <w:tcW w:w="447"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2</w:t>
            </w:r>
            <w:r>
              <w:rPr>
                <w:rFonts w:hint="eastAsia"/>
                <w:bCs/>
                <w:sz w:val="21"/>
                <w:szCs w:val="21"/>
                <w:lang w:val="en-US" w:eastAsia="zh-CN"/>
              </w:rPr>
              <w:t>4</w:t>
            </w:r>
            <w:r>
              <w:rPr>
                <w:rFonts w:hint="eastAsia"/>
                <w:bCs/>
                <w:sz w:val="21"/>
                <w:szCs w:val="21"/>
              </w:rPr>
              <w:t>84.5</w:t>
            </w:r>
          </w:p>
        </w:tc>
        <w:tc>
          <w:tcPr>
            <w:tcW w:w="445"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0.78</w:t>
            </w:r>
          </w:p>
        </w:tc>
        <w:tc>
          <w:tcPr>
            <w:tcW w:w="370"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lang w:val="en-US" w:eastAsia="zh-CN"/>
              </w:rPr>
              <w:t>70</w:t>
            </w:r>
            <w:r>
              <w:rPr>
                <w:rFonts w:hint="eastAsia"/>
                <w:bCs/>
                <w:sz w:val="21"/>
                <w:szCs w:val="21"/>
              </w:rPr>
              <w:t>.5</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bCs/>
                <w:sz w:val="21"/>
                <w:szCs w:val="21"/>
              </w:rPr>
              <w:t>5</w:t>
            </w:r>
            <w:r>
              <w:rPr>
                <w:rFonts w:hint="eastAsia"/>
                <w:bCs/>
                <w:sz w:val="21"/>
                <w:szCs w:val="21"/>
                <w:lang w:val="en-US" w:eastAsia="zh-CN"/>
              </w:rPr>
              <w:t>2.</w:t>
            </w:r>
            <w:r>
              <w:rPr>
                <w:bCs/>
                <w:sz w:val="21"/>
                <w:szCs w:val="21"/>
              </w:rPr>
              <w:t>3</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bCs/>
                <w:sz w:val="21"/>
                <w:szCs w:val="21"/>
              </w:rPr>
              <w:t>1.41</w:t>
            </w:r>
          </w:p>
        </w:tc>
        <w:tc>
          <w:tcPr>
            <w:tcW w:w="370" w:type="pct"/>
            <w:tcBorders>
              <w:top w:val="nil"/>
              <w:left w:val="nil"/>
              <w:bottom w:val="single" w:color="auto" w:sz="4" w:space="0"/>
              <w:right w:val="single" w:color="auto" w:sz="4" w:space="0"/>
            </w:tcBorders>
            <w:noWrap w:val="0"/>
            <w:vAlign w:val="top"/>
          </w:tcPr>
          <w:p>
            <w:pPr>
              <w:spacing w:line="240" w:lineRule="atLeast"/>
              <w:ind w:firstLine="0" w:firstLineChars="0"/>
              <w:jc w:val="center"/>
              <w:rPr>
                <w:bCs/>
                <w:sz w:val="21"/>
                <w:szCs w:val="21"/>
              </w:rPr>
            </w:pPr>
            <w:r>
              <w:rPr>
                <w:rFonts w:hint="eastAsia"/>
                <w:bCs/>
                <w:sz w:val="21"/>
                <w:szCs w:val="21"/>
              </w:rPr>
              <w:t>2.50</w:t>
            </w:r>
          </w:p>
        </w:tc>
        <w:tc>
          <w:tcPr>
            <w:tcW w:w="347"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bCs/>
                <w:sz w:val="21"/>
                <w:szCs w:val="21"/>
                <w:lang w:val="en-US"/>
              </w:rPr>
            </w:pPr>
            <w:r>
              <w:rPr>
                <w:rFonts w:hint="eastAsia"/>
                <w:bCs/>
                <w:sz w:val="21"/>
                <w:szCs w:val="21"/>
                <w:lang w:val="en-US" w:eastAsia="zh-CN"/>
              </w:rPr>
              <w:t>1.89</w:t>
            </w:r>
          </w:p>
        </w:tc>
        <w:tc>
          <w:tcPr>
            <w:tcW w:w="424"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1.05</w:t>
            </w:r>
          </w:p>
        </w:tc>
      </w:tr>
      <w:tr>
        <w:tblPrEx>
          <w:tblCellMar>
            <w:top w:w="0" w:type="dxa"/>
            <w:left w:w="0" w:type="dxa"/>
            <w:bottom w:w="0" w:type="dxa"/>
            <w:right w:w="0" w:type="dxa"/>
          </w:tblCellMar>
        </w:tblPrEx>
        <w:trPr>
          <w:trHeight w:val="20" w:hRule="atLeast"/>
          <w:jc w:val="center"/>
        </w:trPr>
        <w:tc>
          <w:tcPr>
            <w:tcW w:w="1025"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eastAsia"/>
                <w:bCs/>
                <w:sz w:val="21"/>
                <w:szCs w:val="21"/>
                <w:lang w:val="en-US" w:eastAsia="zh-CN"/>
              </w:rPr>
            </w:pPr>
            <w:r>
              <w:rPr>
                <w:rFonts w:hint="eastAsia"/>
                <w:bCs/>
                <w:sz w:val="21"/>
                <w:szCs w:val="21"/>
                <w:lang w:val="en-US" w:eastAsia="zh-CN"/>
              </w:rPr>
              <w:t>检修期</w:t>
            </w:r>
          </w:p>
        </w:tc>
        <w:tc>
          <w:tcPr>
            <w:tcW w:w="796"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pStyle w:val="67"/>
              <w:ind w:left="0" w:leftChars="0" w:firstLine="0" w:firstLineChars="0"/>
              <w:rPr>
                <w:rFonts w:hint="eastAsia"/>
                <w:bCs/>
                <w:sz w:val="21"/>
                <w:szCs w:val="21"/>
              </w:rPr>
            </w:pPr>
            <w:r>
              <w:rPr>
                <w:rFonts w:hint="eastAsia"/>
                <w:lang w:val="en-US" w:eastAsia="zh-CN"/>
              </w:rPr>
              <w:t>13.5</w:t>
            </w:r>
          </w:p>
        </w:tc>
        <w:tc>
          <w:tcPr>
            <w:tcW w:w="73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pStyle w:val="67"/>
              <w:ind w:left="0" w:leftChars="0" w:firstLine="0" w:firstLineChars="0"/>
              <w:rPr>
                <w:rFonts w:hint="eastAsia"/>
                <w:bCs/>
                <w:sz w:val="21"/>
                <w:szCs w:val="21"/>
              </w:rPr>
            </w:pPr>
            <w:r>
              <w:rPr>
                <w:rFonts w:hint="eastAsia"/>
                <w:lang w:val="en-US" w:eastAsia="zh-CN"/>
              </w:rPr>
              <w:t>11.34</w:t>
            </w:r>
          </w:p>
        </w:tc>
        <w:tc>
          <w:tcPr>
            <w:tcW w:w="9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3</w:t>
            </w:r>
            <w:r>
              <w:rPr>
                <w:rFonts w:hint="eastAsia"/>
                <w:bCs/>
                <w:sz w:val="21"/>
                <w:szCs w:val="21"/>
                <w:lang w:val="en-US" w:eastAsia="zh-CN"/>
              </w:rPr>
              <w:t>2216.7</w:t>
            </w:r>
          </w:p>
        </w:tc>
        <w:tc>
          <w:tcPr>
            <w:tcW w:w="821"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eastAsia" w:eastAsia="宋体"/>
                <w:bCs/>
                <w:sz w:val="21"/>
                <w:szCs w:val="21"/>
                <w:lang w:eastAsia="zh-CN"/>
              </w:rPr>
            </w:pPr>
            <w:r>
              <w:rPr>
                <w:rFonts w:hint="eastAsia"/>
                <w:bCs/>
                <w:sz w:val="21"/>
                <w:szCs w:val="21"/>
              </w:rPr>
              <w:t>2</w:t>
            </w:r>
            <w:r>
              <w:rPr>
                <w:rFonts w:hint="eastAsia"/>
                <w:bCs/>
                <w:sz w:val="21"/>
                <w:szCs w:val="21"/>
                <w:lang w:val="en-US" w:eastAsia="zh-CN"/>
              </w:rPr>
              <w:t>621</w:t>
            </w:r>
            <w:r>
              <w:rPr>
                <w:rFonts w:hint="eastAsia"/>
                <w:bCs/>
                <w:sz w:val="21"/>
                <w:szCs w:val="21"/>
              </w:rPr>
              <w:t>.</w:t>
            </w:r>
            <w:r>
              <w:rPr>
                <w:rFonts w:hint="eastAsia"/>
                <w:bCs/>
                <w:sz w:val="21"/>
                <w:szCs w:val="21"/>
                <w:lang w:val="en-US" w:eastAsia="zh-CN"/>
              </w:rPr>
              <w:t>3</w:t>
            </w:r>
          </w:p>
        </w:tc>
        <w:tc>
          <w:tcPr>
            <w:tcW w:w="818"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eastAsia" w:eastAsia="宋体"/>
                <w:bCs/>
                <w:sz w:val="21"/>
                <w:szCs w:val="21"/>
                <w:lang w:eastAsia="zh-CN"/>
              </w:rPr>
            </w:pPr>
            <w:r>
              <w:rPr>
                <w:rFonts w:hint="eastAsia"/>
                <w:bCs/>
                <w:sz w:val="21"/>
                <w:szCs w:val="21"/>
              </w:rPr>
              <w:t>0.</w:t>
            </w:r>
            <w:r>
              <w:rPr>
                <w:rFonts w:hint="eastAsia"/>
                <w:bCs/>
                <w:sz w:val="21"/>
                <w:szCs w:val="21"/>
                <w:lang w:val="en-US" w:eastAsia="zh-CN"/>
              </w:rPr>
              <w:t>83</w:t>
            </w:r>
          </w:p>
        </w:tc>
        <w:tc>
          <w:tcPr>
            <w:tcW w:w="68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81.2</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61.4</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bCs/>
                <w:sz w:val="21"/>
                <w:szCs w:val="21"/>
              </w:rPr>
              <w:t>1.</w:t>
            </w:r>
            <w:r>
              <w:rPr>
                <w:rFonts w:hint="eastAsia"/>
                <w:bCs/>
                <w:sz w:val="21"/>
                <w:szCs w:val="21"/>
                <w:lang w:val="en-US" w:eastAsia="zh-CN"/>
              </w:rPr>
              <w:t>71</w:t>
            </w:r>
          </w:p>
        </w:tc>
        <w:tc>
          <w:tcPr>
            <w:tcW w:w="680" w:type="dxa"/>
            <w:tcBorders>
              <w:top w:val="single" w:color="auto" w:sz="4" w:space="0"/>
              <w:left w:val="single" w:color="auto" w:sz="4" w:space="0"/>
              <w:bottom w:val="single" w:color="auto" w:sz="4" w:space="0"/>
              <w:right w:val="single" w:color="auto" w:sz="4" w:space="0"/>
            </w:tcBorders>
            <w:noWrap w:val="0"/>
            <w:vAlign w:val="top"/>
          </w:tcPr>
          <w:p>
            <w:pPr>
              <w:spacing w:line="240" w:lineRule="atLeast"/>
              <w:ind w:firstLine="0" w:firstLineChars="0"/>
              <w:jc w:val="center"/>
              <w:rPr>
                <w:rFonts w:hint="eastAsia"/>
                <w:bCs/>
                <w:sz w:val="21"/>
                <w:szCs w:val="21"/>
              </w:rPr>
            </w:pPr>
            <w:r>
              <w:rPr>
                <w:rFonts w:hint="eastAsia"/>
                <w:bCs/>
                <w:sz w:val="21"/>
                <w:szCs w:val="21"/>
              </w:rPr>
              <w:t>2.50</w:t>
            </w:r>
          </w:p>
        </w:tc>
        <w:tc>
          <w:tcPr>
            <w:tcW w:w="638"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bCs/>
                <w:sz w:val="21"/>
                <w:szCs w:val="21"/>
                <w:lang w:val="en-US" w:eastAsia="zh-CN"/>
              </w:rPr>
            </w:pPr>
            <w:r>
              <w:rPr>
                <w:rFonts w:hint="eastAsia"/>
                <w:bCs/>
                <w:sz w:val="21"/>
                <w:szCs w:val="21"/>
                <w:lang w:val="en-US" w:eastAsia="zh-CN"/>
              </w:rPr>
              <w:t>1.68</w:t>
            </w:r>
          </w:p>
        </w:tc>
        <w:tc>
          <w:tcPr>
            <w:tcW w:w="77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eastAsia"/>
                <w:bCs/>
                <w:sz w:val="21"/>
                <w:szCs w:val="21"/>
              </w:rPr>
            </w:pPr>
            <w:r>
              <w:rPr>
                <w:rFonts w:hint="eastAsia"/>
                <w:bCs/>
                <w:sz w:val="21"/>
                <w:szCs w:val="21"/>
              </w:rPr>
              <w:t>1.05</w:t>
            </w:r>
          </w:p>
        </w:tc>
      </w:tr>
    </w:tbl>
    <w:p>
      <w:pPr>
        <w:pStyle w:val="66"/>
        <w:ind w:firstLine="480"/>
        <w:rPr>
          <w:rFonts w:hint="eastAsia"/>
          <w:highlight w:val="none"/>
        </w:rPr>
      </w:pPr>
      <w:r>
        <w:rPr>
          <w:rFonts w:hint="eastAsia"/>
          <w:highlight w:val="none"/>
        </w:rPr>
        <w:t xml:space="preserve">表 </w:t>
      </w:r>
      <w:r>
        <w:rPr>
          <w:rFonts w:hint="eastAsia"/>
          <w:highlight w:val="none"/>
          <w:lang w:val="en-US" w:eastAsia="zh-CN"/>
        </w:rPr>
        <w:t>4</w:t>
      </w:r>
      <w:r>
        <w:rPr>
          <w:highlight w:val="none"/>
        </w:rPr>
        <w:noBreakHyphen/>
      </w:r>
      <w:r>
        <w:rPr>
          <w:rFonts w:hint="eastAsia"/>
          <w:highlight w:val="none"/>
          <w:lang w:val="en-US" w:eastAsia="zh-CN"/>
        </w:rPr>
        <w:t>4</w:t>
      </w:r>
      <w:r>
        <w:rPr>
          <w:rFonts w:hint="eastAsia"/>
          <w:highlight w:val="none"/>
        </w:rPr>
        <w:t xml:space="preserve"> </w:t>
      </w:r>
      <w:r>
        <w:rPr>
          <w:rFonts w:hint="eastAsia"/>
          <w:highlight w:val="none"/>
          <w:lang w:val="en-US" w:eastAsia="zh-CN"/>
        </w:rPr>
        <w:t>活水泵站</w:t>
      </w:r>
      <w:r>
        <w:rPr>
          <w:rFonts w:hint="eastAsia"/>
          <w:highlight w:val="none"/>
        </w:rPr>
        <w:t>稳定计算成果表</w:t>
      </w:r>
    </w:p>
    <w:tbl>
      <w:tblPr>
        <w:tblStyle w:val="19"/>
        <w:tblW w:w="4996" w:type="pct"/>
        <w:jc w:val="center"/>
        <w:tblLayout w:type="autofit"/>
        <w:tblCellMar>
          <w:top w:w="0" w:type="dxa"/>
          <w:left w:w="0" w:type="dxa"/>
          <w:bottom w:w="0" w:type="dxa"/>
          <w:right w:w="0" w:type="dxa"/>
        </w:tblCellMar>
      </w:tblPr>
      <w:tblGrid>
        <w:gridCol w:w="1025"/>
        <w:gridCol w:w="796"/>
        <w:gridCol w:w="733"/>
        <w:gridCol w:w="930"/>
        <w:gridCol w:w="821"/>
        <w:gridCol w:w="818"/>
        <w:gridCol w:w="680"/>
        <w:gridCol w:w="639"/>
        <w:gridCol w:w="639"/>
        <w:gridCol w:w="680"/>
        <w:gridCol w:w="638"/>
        <w:gridCol w:w="780"/>
      </w:tblGrid>
      <w:tr>
        <w:tblPrEx>
          <w:tblCellMar>
            <w:top w:w="0" w:type="dxa"/>
            <w:left w:w="0" w:type="dxa"/>
            <w:bottom w:w="0" w:type="dxa"/>
            <w:right w:w="0" w:type="dxa"/>
          </w:tblCellMar>
        </w:tblPrEx>
        <w:trPr>
          <w:trHeight w:val="20" w:hRule="atLeast"/>
          <w:jc w:val="center"/>
        </w:trPr>
        <w:tc>
          <w:tcPr>
            <w:tcW w:w="558"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计算工况</w:t>
            </w:r>
          </w:p>
        </w:tc>
        <w:tc>
          <w:tcPr>
            <w:tcW w:w="832" w:type="pct"/>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水位组合(m)</w:t>
            </w:r>
          </w:p>
        </w:tc>
        <w:tc>
          <w:tcPr>
            <w:tcW w:w="506"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垂直力</w:t>
            </w:r>
            <w:r>
              <w:rPr>
                <w:bCs/>
                <w:sz w:val="21"/>
                <w:szCs w:val="21"/>
              </w:rPr>
              <w:t>(</w:t>
            </w:r>
            <w:r>
              <w:rPr>
                <w:rFonts w:hint="eastAsia"/>
                <w:bCs/>
                <w:sz w:val="21"/>
                <w:szCs w:val="21"/>
              </w:rPr>
              <w:t>k</w:t>
            </w:r>
            <w:r>
              <w:rPr>
                <w:bCs/>
                <w:sz w:val="21"/>
                <w:szCs w:val="21"/>
              </w:rPr>
              <w:t>N)</w:t>
            </w:r>
          </w:p>
        </w:tc>
        <w:tc>
          <w:tcPr>
            <w:tcW w:w="447"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水平力</w:t>
            </w:r>
            <w:r>
              <w:rPr>
                <w:bCs/>
                <w:sz w:val="21"/>
                <w:szCs w:val="21"/>
              </w:rPr>
              <w:t>(</w:t>
            </w:r>
            <w:r>
              <w:rPr>
                <w:rFonts w:hint="eastAsia"/>
                <w:bCs/>
                <w:sz w:val="21"/>
                <w:szCs w:val="21"/>
              </w:rPr>
              <w:t>k</w:t>
            </w:r>
            <w:r>
              <w:rPr>
                <w:bCs/>
                <w:sz w:val="21"/>
                <w:szCs w:val="21"/>
              </w:rPr>
              <w:t>N)</w:t>
            </w:r>
          </w:p>
        </w:tc>
        <w:tc>
          <w:tcPr>
            <w:tcW w:w="445"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偏心距</w:t>
            </w:r>
            <w:r>
              <w:rPr>
                <w:bCs/>
                <w:sz w:val="21"/>
                <w:szCs w:val="21"/>
              </w:rPr>
              <w:t>(m)</w:t>
            </w:r>
          </w:p>
        </w:tc>
        <w:tc>
          <w:tcPr>
            <w:tcW w:w="718" w:type="pct"/>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地基反力</w:t>
            </w:r>
            <w:r>
              <w:rPr>
                <w:bCs/>
                <w:sz w:val="21"/>
                <w:szCs w:val="21"/>
              </w:rPr>
              <w:t>(</w:t>
            </w:r>
            <w:r>
              <w:rPr>
                <w:rFonts w:hint="eastAsia"/>
                <w:bCs/>
                <w:sz w:val="21"/>
                <w:szCs w:val="21"/>
              </w:rPr>
              <w:t>k</w:t>
            </w:r>
            <w:r>
              <w:rPr>
                <w:bCs/>
                <w:sz w:val="21"/>
                <w:szCs w:val="21"/>
              </w:rPr>
              <w:t>Pa)</w:t>
            </w:r>
          </w:p>
        </w:tc>
        <w:tc>
          <w:tcPr>
            <w:tcW w:w="348"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不均匀系数</w:t>
            </w:r>
          </w:p>
        </w:tc>
        <w:tc>
          <w:tcPr>
            <w:tcW w:w="370" w:type="pct"/>
            <w:vMerge w:val="restart"/>
            <w:tcBorders>
              <w:top w:val="single" w:color="auto" w:sz="4" w:space="0"/>
              <w:left w:val="single" w:color="auto" w:sz="4" w:space="0"/>
              <w:right w:val="single" w:color="auto" w:sz="4" w:space="0"/>
            </w:tcBorders>
            <w:noWrap w:val="0"/>
            <w:vAlign w:val="top"/>
          </w:tcPr>
          <w:p>
            <w:pPr>
              <w:spacing w:line="240" w:lineRule="atLeast"/>
              <w:ind w:firstLine="0" w:firstLineChars="0"/>
              <w:jc w:val="center"/>
              <w:rPr>
                <w:bCs/>
                <w:sz w:val="21"/>
                <w:szCs w:val="21"/>
              </w:rPr>
            </w:pPr>
            <w:r>
              <w:rPr>
                <w:rFonts w:hint="eastAsia"/>
                <w:bCs/>
                <w:sz w:val="21"/>
                <w:szCs w:val="21"/>
              </w:rPr>
              <w:t>允许</w:t>
            </w:r>
          </w:p>
          <w:p>
            <w:pPr>
              <w:spacing w:line="240" w:lineRule="atLeast"/>
              <w:ind w:firstLine="0" w:firstLineChars="0"/>
              <w:jc w:val="center"/>
              <w:rPr>
                <w:bCs/>
                <w:sz w:val="21"/>
                <w:szCs w:val="21"/>
              </w:rPr>
            </w:pPr>
            <w:r>
              <w:rPr>
                <w:rFonts w:hint="eastAsia"/>
                <w:bCs/>
                <w:sz w:val="21"/>
                <w:szCs w:val="21"/>
              </w:rPr>
              <w:t>不均匀</w:t>
            </w:r>
          </w:p>
          <w:p>
            <w:pPr>
              <w:spacing w:line="240" w:lineRule="atLeast"/>
              <w:ind w:firstLine="0" w:firstLineChars="0"/>
              <w:jc w:val="center"/>
              <w:rPr>
                <w:bCs/>
                <w:sz w:val="21"/>
                <w:szCs w:val="21"/>
              </w:rPr>
            </w:pPr>
            <w:r>
              <w:rPr>
                <w:rFonts w:hint="eastAsia"/>
                <w:bCs/>
                <w:sz w:val="21"/>
                <w:szCs w:val="21"/>
              </w:rPr>
              <w:t>系数</w:t>
            </w:r>
          </w:p>
        </w:tc>
        <w:tc>
          <w:tcPr>
            <w:tcW w:w="347"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抗滑安全系数</w:t>
            </w:r>
          </w:p>
        </w:tc>
        <w:tc>
          <w:tcPr>
            <w:tcW w:w="424" w:type="pct"/>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容许抗滑安全系数</w:t>
            </w:r>
          </w:p>
        </w:tc>
      </w:tr>
      <w:tr>
        <w:tblPrEx>
          <w:tblCellMar>
            <w:top w:w="0" w:type="dxa"/>
            <w:left w:w="0" w:type="dxa"/>
            <w:bottom w:w="0" w:type="dxa"/>
            <w:right w:w="0" w:type="dxa"/>
          </w:tblCellMar>
        </w:tblPrEx>
        <w:trPr>
          <w:trHeight w:val="20" w:hRule="atLeast"/>
          <w:jc w:val="center"/>
        </w:trPr>
        <w:tc>
          <w:tcPr>
            <w:tcW w:w="558" w:type="pct"/>
            <w:vMerge w:val="continue"/>
            <w:tcBorders>
              <w:top w:val="nil"/>
              <w:left w:val="single" w:color="auto" w:sz="4" w:space="0"/>
              <w:bottom w:val="single" w:color="auto" w:sz="4" w:space="0"/>
              <w:right w:val="single" w:color="auto" w:sz="4" w:space="0"/>
            </w:tcBorders>
            <w:noWrap w:val="0"/>
            <w:vAlign w:val="center"/>
          </w:tcPr>
          <w:p>
            <w:pPr>
              <w:spacing w:line="240" w:lineRule="atLeast"/>
              <w:ind w:firstLine="0" w:firstLineChars="0"/>
              <w:jc w:val="center"/>
              <w:rPr>
                <w:bCs/>
                <w:sz w:val="21"/>
                <w:szCs w:val="21"/>
              </w:rPr>
            </w:pPr>
          </w:p>
        </w:tc>
        <w:tc>
          <w:tcPr>
            <w:tcW w:w="433"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上游</w:t>
            </w:r>
          </w:p>
        </w:tc>
        <w:tc>
          <w:tcPr>
            <w:tcW w:w="399"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下游</w:t>
            </w:r>
          </w:p>
        </w:tc>
        <w:tc>
          <w:tcPr>
            <w:tcW w:w="506" w:type="pct"/>
            <w:vMerge w:val="continue"/>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p>
        </w:tc>
        <w:tc>
          <w:tcPr>
            <w:tcW w:w="447" w:type="pct"/>
            <w:vMerge w:val="continue"/>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p>
        </w:tc>
        <w:tc>
          <w:tcPr>
            <w:tcW w:w="445" w:type="pct"/>
            <w:vMerge w:val="continue"/>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p>
        </w:tc>
        <w:tc>
          <w:tcPr>
            <w:tcW w:w="370"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σ</w:t>
            </w:r>
            <w:r>
              <w:rPr>
                <w:bCs/>
                <w:sz w:val="21"/>
                <w:szCs w:val="21"/>
              </w:rPr>
              <w:t>max</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σ</w:t>
            </w:r>
            <w:r>
              <w:rPr>
                <w:bCs/>
                <w:sz w:val="21"/>
                <w:szCs w:val="21"/>
              </w:rPr>
              <w:t>min</w:t>
            </w:r>
          </w:p>
        </w:tc>
        <w:tc>
          <w:tcPr>
            <w:tcW w:w="348" w:type="pct"/>
            <w:vMerge w:val="continue"/>
            <w:tcBorders>
              <w:top w:val="nil"/>
              <w:left w:val="single" w:color="auto" w:sz="4" w:space="0"/>
              <w:bottom w:val="single" w:color="auto" w:sz="4" w:space="0"/>
              <w:right w:val="single" w:color="auto" w:sz="4" w:space="0"/>
            </w:tcBorders>
            <w:noWrap w:val="0"/>
            <w:vAlign w:val="center"/>
          </w:tcPr>
          <w:p>
            <w:pPr>
              <w:spacing w:line="240" w:lineRule="atLeast"/>
              <w:ind w:firstLine="0" w:firstLineChars="0"/>
              <w:jc w:val="center"/>
              <w:rPr>
                <w:bCs/>
                <w:sz w:val="21"/>
                <w:szCs w:val="21"/>
              </w:rPr>
            </w:pPr>
          </w:p>
        </w:tc>
        <w:tc>
          <w:tcPr>
            <w:tcW w:w="370" w:type="pct"/>
            <w:vMerge w:val="continue"/>
            <w:tcBorders>
              <w:left w:val="single" w:color="auto" w:sz="4" w:space="0"/>
              <w:bottom w:val="single" w:color="auto" w:sz="4" w:space="0"/>
              <w:right w:val="single" w:color="auto" w:sz="4" w:space="0"/>
            </w:tcBorders>
            <w:noWrap w:val="0"/>
            <w:vAlign w:val="top"/>
          </w:tcPr>
          <w:p>
            <w:pPr>
              <w:spacing w:line="240" w:lineRule="atLeast"/>
              <w:ind w:firstLine="0" w:firstLineChars="0"/>
              <w:jc w:val="center"/>
              <w:rPr>
                <w:bCs/>
                <w:sz w:val="21"/>
                <w:szCs w:val="21"/>
              </w:rPr>
            </w:pPr>
          </w:p>
        </w:tc>
        <w:tc>
          <w:tcPr>
            <w:tcW w:w="347" w:type="pct"/>
            <w:vMerge w:val="continue"/>
            <w:tcBorders>
              <w:top w:val="nil"/>
              <w:left w:val="single" w:color="auto" w:sz="4" w:space="0"/>
              <w:bottom w:val="single" w:color="auto" w:sz="4" w:space="0"/>
              <w:right w:val="single" w:color="auto" w:sz="4" w:space="0"/>
            </w:tcBorders>
            <w:noWrap w:val="0"/>
            <w:vAlign w:val="center"/>
          </w:tcPr>
          <w:p>
            <w:pPr>
              <w:spacing w:line="240" w:lineRule="atLeast"/>
              <w:ind w:firstLine="0" w:firstLineChars="0"/>
              <w:jc w:val="center"/>
              <w:rPr>
                <w:bCs/>
                <w:sz w:val="21"/>
                <w:szCs w:val="21"/>
              </w:rPr>
            </w:pPr>
          </w:p>
        </w:tc>
        <w:tc>
          <w:tcPr>
            <w:tcW w:w="424" w:type="pct"/>
            <w:vMerge w:val="continue"/>
            <w:tcBorders>
              <w:top w:val="nil"/>
              <w:left w:val="single" w:color="auto" w:sz="4" w:space="0"/>
              <w:bottom w:val="single" w:color="auto" w:sz="4" w:space="0"/>
              <w:right w:val="single" w:color="auto" w:sz="4" w:space="0"/>
            </w:tcBorders>
            <w:noWrap w:val="0"/>
            <w:vAlign w:val="center"/>
          </w:tcPr>
          <w:p>
            <w:pPr>
              <w:spacing w:line="240" w:lineRule="atLeast"/>
              <w:ind w:firstLine="0" w:firstLineChars="0"/>
              <w:jc w:val="center"/>
              <w:rPr>
                <w:bCs/>
                <w:sz w:val="21"/>
                <w:szCs w:val="21"/>
              </w:rPr>
            </w:pPr>
          </w:p>
        </w:tc>
      </w:tr>
      <w:tr>
        <w:tblPrEx>
          <w:tblCellMar>
            <w:top w:w="0" w:type="dxa"/>
            <w:left w:w="0" w:type="dxa"/>
            <w:bottom w:w="0" w:type="dxa"/>
            <w:right w:w="0" w:type="dxa"/>
          </w:tblCellMar>
        </w:tblPrEx>
        <w:trPr>
          <w:trHeight w:val="20" w:hRule="atLeast"/>
          <w:jc w:val="center"/>
        </w:trPr>
        <w:tc>
          <w:tcPr>
            <w:tcW w:w="558"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完建期</w:t>
            </w:r>
          </w:p>
        </w:tc>
        <w:tc>
          <w:tcPr>
            <w:tcW w:w="433"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无水</w:t>
            </w:r>
          </w:p>
        </w:tc>
        <w:tc>
          <w:tcPr>
            <w:tcW w:w="399"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无水</w:t>
            </w:r>
          </w:p>
        </w:tc>
        <w:tc>
          <w:tcPr>
            <w:tcW w:w="506"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eastAsia" w:eastAsia="宋体"/>
                <w:bCs/>
                <w:sz w:val="21"/>
                <w:szCs w:val="21"/>
                <w:lang w:eastAsia="zh-CN"/>
              </w:rPr>
            </w:pPr>
            <w:r>
              <w:rPr>
                <w:rFonts w:hint="eastAsia"/>
                <w:bCs/>
                <w:sz w:val="21"/>
                <w:szCs w:val="21"/>
                <w:lang w:val="en-US" w:eastAsia="zh-CN"/>
              </w:rPr>
              <w:t>19</w:t>
            </w:r>
            <w:r>
              <w:rPr>
                <w:rFonts w:hint="eastAsia"/>
                <w:bCs/>
                <w:sz w:val="21"/>
                <w:szCs w:val="21"/>
              </w:rPr>
              <w:t>0</w:t>
            </w:r>
            <w:r>
              <w:rPr>
                <w:rFonts w:hint="eastAsia"/>
                <w:bCs/>
                <w:sz w:val="21"/>
                <w:szCs w:val="21"/>
                <w:lang w:val="en-US" w:eastAsia="zh-CN"/>
              </w:rPr>
              <w:t>2</w:t>
            </w:r>
            <w:r>
              <w:rPr>
                <w:rFonts w:hint="eastAsia"/>
                <w:bCs/>
                <w:sz w:val="21"/>
                <w:szCs w:val="21"/>
              </w:rPr>
              <w:t>5.</w:t>
            </w:r>
            <w:r>
              <w:rPr>
                <w:rFonts w:hint="eastAsia"/>
                <w:bCs/>
                <w:sz w:val="21"/>
                <w:szCs w:val="21"/>
                <w:lang w:val="en-US" w:eastAsia="zh-CN"/>
              </w:rPr>
              <w:t>6</w:t>
            </w:r>
          </w:p>
        </w:tc>
        <w:tc>
          <w:tcPr>
            <w:tcW w:w="447"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bCs/>
                <w:sz w:val="21"/>
                <w:szCs w:val="21"/>
              </w:rPr>
              <w:t>/</w:t>
            </w:r>
          </w:p>
        </w:tc>
        <w:tc>
          <w:tcPr>
            <w:tcW w:w="445"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0.</w:t>
            </w:r>
            <w:r>
              <w:rPr>
                <w:rFonts w:hint="eastAsia"/>
                <w:bCs/>
                <w:sz w:val="21"/>
                <w:szCs w:val="21"/>
                <w:lang w:val="en-US" w:eastAsia="zh-CN"/>
              </w:rPr>
              <w:t>13</w:t>
            </w:r>
          </w:p>
        </w:tc>
        <w:tc>
          <w:tcPr>
            <w:tcW w:w="370"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bCs/>
                <w:sz w:val="21"/>
                <w:szCs w:val="21"/>
                <w:lang w:val="en-US"/>
              </w:rPr>
            </w:pPr>
            <w:r>
              <w:rPr>
                <w:rFonts w:hint="eastAsia"/>
                <w:bCs/>
                <w:sz w:val="21"/>
                <w:szCs w:val="21"/>
                <w:lang w:val="en-US" w:eastAsia="zh-CN"/>
              </w:rPr>
              <w:t>65.6</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52.3</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1.</w:t>
            </w:r>
            <w:r>
              <w:rPr>
                <w:rFonts w:hint="eastAsia"/>
                <w:bCs/>
                <w:sz w:val="21"/>
                <w:szCs w:val="21"/>
                <w:lang w:val="en-US" w:eastAsia="zh-CN"/>
              </w:rPr>
              <w:t>15</w:t>
            </w:r>
          </w:p>
        </w:tc>
        <w:tc>
          <w:tcPr>
            <w:tcW w:w="370" w:type="pct"/>
            <w:tcBorders>
              <w:top w:val="nil"/>
              <w:left w:val="nil"/>
              <w:bottom w:val="single" w:color="auto" w:sz="4" w:space="0"/>
              <w:right w:val="single" w:color="auto" w:sz="4" w:space="0"/>
            </w:tcBorders>
            <w:noWrap w:val="0"/>
            <w:vAlign w:val="top"/>
          </w:tcPr>
          <w:p>
            <w:pPr>
              <w:spacing w:line="240" w:lineRule="atLeast"/>
              <w:ind w:firstLine="0" w:firstLineChars="0"/>
              <w:jc w:val="center"/>
              <w:rPr>
                <w:bCs/>
                <w:sz w:val="21"/>
                <w:szCs w:val="21"/>
              </w:rPr>
            </w:pPr>
            <w:r>
              <w:rPr>
                <w:rFonts w:hint="eastAsia"/>
                <w:bCs/>
                <w:sz w:val="21"/>
                <w:szCs w:val="21"/>
              </w:rPr>
              <w:t>2.00</w:t>
            </w:r>
          </w:p>
        </w:tc>
        <w:tc>
          <w:tcPr>
            <w:tcW w:w="347"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bCs/>
                <w:sz w:val="21"/>
                <w:szCs w:val="21"/>
              </w:rPr>
              <w:t>/</w:t>
            </w:r>
          </w:p>
        </w:tc>
        <w:tc>
          <w:tcPr>
            <w:tcW w:w="424"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1.</w:t>
            </w:r>
            <w:r>
              <w:rPr>
                <w:rFonts w:hint="eastAsia"/>
                <w:bCs/>
                <w:sz w:val="21"/>
                <w:szCs w:val="21"/>
                <w:lang w:val="en-US" w:eastAsia="zh-CN"/>
              </w:rPr>
              <w:t>05</w:t>
            </w:r>
          </w:p>
        </w:tc>
      </w:tr>
      <w:tr>
        <w:tblPrEx>
          <w:tblCellMar>
            <w:top w:w="0" w:type="dxa"/>
            <w:left w:w="0" w:type="dxa"/>
            <w:bottom w:w="0" w:type="dxa"/>
            <w:right w:w="0" w:type="dxa"/>
          </w:tblCellMar>
        </w:tblPrEx>
        <w:trPr>
          <w:trHeight w:val="20" w:hRule="atLeast"/>
          <w:jc w:val="center"/>
        </w:trPr>
        <w:tc>
          <w:tcPr>
            <w:tcW w:w="558"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lang w:val="en-US" w:eastAsia="zh-CN"/>
              </w:rPr>
              <w:t>设计</w:t>
            </w:r>
            <w:r>
              <w:rPr>
                <w:rFonts w:hint="eastAsia"/>
                <w:bCs/>
                <w:sz w:val="21"/>
                <w:szCs w:val="21"/>
              </w:rPr>
              <w:t>工况</w:t>
            </w:r>
          </w:p>
        </w:tc>
        <w:tc>
          <w:tcPr>
            <w:tcW w:w="433"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8.0</w:t>
            </w:r>
          </w:p>
        </w:tc>
        <w:tc>
          <w:tcPr>
            <w:tcW w:w="399"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8.5</w:t>
            </w:r>
          </w:p>
        </w:tc>
        <w:tc>
          <w:tcPr>
            <w:tcW w:w="506"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16156.2</w:t>
            </w:r>
          </w:p>
        </w:tc>
        <w:tc>
          <w:tcPr>
            <w:tcW w:w="447"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1</w:t>
            </w:r>
            <w:r>
              <w:rPr>
                <w:rFonts w:hint="eastAsia"/>
                <w:bCs/>
                <w:sz w:val="21"/>
                <w:szCs w:val="21"/>
                <w:lang w:val="en-US" w:eastAsia="zh-CN"/>
              </w:rPr>
              <w:t>0</w:t>
            </w:r>
            <w:r>
              <w:rPr>
                <w:rFonts w:hint="eastAsia"/>
                <w:bCs/>
                <w:sz w:val="21"/>
                <w:szCs w:val="21"/>
              </w:rPr>
              <w:t>9</w:t>
            </w:r>
            <w:r>
              <w:rPr>
                <w:rFonts w:hint="eastAsia"/>
                <w:bCs/>
                <w:sz w:val="21"/>
                <w:szCs w:val="21"/>
                <w:lang w:val="en-US" w:eastAsia="zh-CN"/>
              </w:rPr>
              <w:t>1</w:t>
            </w:r>
            <w:r>
              <w:rPr>
                <w:rFonts w:hint="eastAsia"/>
                <w:bCs/>
                <w:sz w:val="21"/>
                <w:szCs w:val="21"/>
              </w:rPr>
              <w:t>.</w:t>
            </w:r>
            <w:r>
              <w:rPr>
                <w:rFonts w:hint="eastAsia"/>
                <w:bCs/>
                <w:sz w:val="21"/>
                <w:szCs w:val="21"/>
                <w:lang w:val="en-US" w:eastAsia="zh-CN"/>
              </w:rPr>
              <w:t>6</w:t>
            </w:r>
          </w:p>
        </w:tc>
        <w:tc>
          <w:tcPr>
            <w:tcW w:w="445"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0.</w:t>
            </w:r>
            <w:r>
              <w:rPr>
                <w:rFonts w:hint="eastAsia"/>
                <w:bCs/>
                <w:sz w:val="21"/>
                <w:szCs w:val="21"/>
                <w:lang w:val="en-US" w:eastAsia="zh-CN"/>
              </w:rPr>
              <w:t>52</w:t>
            </w:r>
          </w:p>
        </w:tc>
        <w:tc>
          <w:tcPr>
            <w:tcW w:w="370"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bCs/>
                <w:sz w:val="21"/>
                <w:szCs w:val="21"/>
                <w:lang w:val="en-US"/>
              </w:rPr>
            </w:pPr>
            <w:r>
              <w:rPr>
                <w:rFonts w:hint="eastAsia"/>
                <w:bCs/>
                <w:sz w:val="21"/>
                <w:szCs w:val="21"/>
                <w:lang w:val="en-US" w:eastAsia="zh-CN"/>
              </w:rPr>
              <w:t>45.2</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eastAsia" w:eastAsia="宋体"/>
                <w:bCs/>
                <w:sz w:val="21"/>
                <w:szCs w:val="21"/>
                <w:lang w:eastAsia="zh-CN"/>
              </w:rPr>
            </w:pPr>
            <w:r>
              <w:rPr>
                <w:rFonts w:hint="eastAsia"/>
                <w:bCs/>
                <w:sz w:val="21"/>
                <w:szCs w:val="21"/>
                <w:lang w:val="en-US" w:eastAsia="zh-CN"/>
              </w:rPr>
              <w:t>36</w:t>
            </w:r>
            <w:r>
              <w:rPr>
                <w:bCs/>
                <w:sz w:val="21"/>
                <w:szCs w:val="21"/>
              </w:rPr>
              <w:t>.</w:t>
            </w:r>
            <w:r>
              <w:rPr>
                <w:rFonts w:hint="eastAsia"/>
                <w:bCs/>
                <w:sz w:val="21"/>
                <w:szCs w:val="21"/>
                <w:lang w:val="en-US" w:eastAsia="zh-CN"/>
              </w:rPr>
              <w:t>3</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1.</w:t>
            </w:r>
            <w:r>
              <w:rPr>
                <w:rFonts w:hint="eastAsia"/>
                <w:bCs/>
                <w:sz w:val="21"/>
                <w:szCs w:val="21"/>
                <w:lang w:val="en-US" w:eastAsia="zh-CN"/>
              </w:rPr>
              <w:t>32</w:t>
            </w:r>
          </w:p>
        </w:tc>
        <w:tc>
          <w:tcPr>
            <w:tcW w:w="370" w:type="pct"/>
            <w:tcBorders>
              <w:top w:val="nil"/>
              <w:left w:val="nil"/>
              <w:bottom w:val="single" w:color="auto" w:sz="4" w:space="0"/>
              <w:right w:val="single" w:color="auto" w:sz="4" w:space="0"/>
            </w:tcBorders>
            <w:noWrap w:val="0"/>
            <w:vAlign w:val="top"/>
          </w:tcPr>
          <w:p>
            <w:pPr>
              <w:spacing w:line="240" w:lineRule="atLeast"/>
              <w:ind w:firstLine="0" w:firstLineChars="0"/>
              <w:jc w:val="center"/>
              <w:rPr>
                <w:bCs/>
                <w:sz w:val="21"/>
                <w:szCs w:val="21"/>
              </w:rPr>
            </w:pPr>
            <w:r>
              <w:rPr>
                <w:rFonts w:hint="eastAsia"/>
                <w:bCs/>
                <w:sz w:val="21"/>
                <w:szCs w:val="21"/>
              </w:rPr>
              <w:t>2.00</w:t>
            </w:r>
          </w:p>
        </w:tc>
        <w:tc>
          <w:tcPr>
            <w:tcW w:w="347"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1.95</w:t>
            </w:r>
          </w:p>
        </w:tc>
        <w:tc>
          <w:tcPr>
            <w:tcW w:w="424"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1.</w:t>
            </w:r>
            <w:r>
              <w:rPr>
                <w:rFonts w:hint="eastAsia"/>
                <w:bCs/>
                <w:sz w:val="21"/>
                <w:szCs w:val="21"/>
                <w:lang w:val="en-US" w:eastAsia="zh-CN"/>
              </w:rPr>
              <w:t>15</w:t>
            </w:r>
          </w:p>
        </w:tc>
      </w:tr>
      <w:tr>
        <w:tblPrEx>
          <w:tblCellMar>
            <w:top w:w="0" w:type="dxa"/>
            <w:left w:w="0" w:type="dxa"/>
            <w:bottom w:w="0" w:type="dxa"/>
            <w:right w:w="0" w:type="dxa"/>
          </w:tblCellMar>
        </w:tblPrEx>
        <w:trPr>
          <w:trHeight w:val="20" w:hRule="atLeast"/>
          <w:jc w:val="center"/>
        </w:trPr>
        <w:tc>
          <w:tcPr>
            <w:tcW w:w="558"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lang w:val="en-US" w:eastAsia="zh-CN"/>
              </w:rPr>
              <w:t>校核</w:t>
            </w:r>
            <w:r>
              <w:rPr>
                <w:rFonts w:hint="eastAsia"/>
                <w:bCs/>
                <w:sz w:val="21"/>
                <w:szCs w:val="21"/>
              </w:rPr>
              <w:t>工况</w:t>
            </w:r>
          </w:p>
        </w:tc>
        <w:tc>
          <w:tcPr>
            <w:tcW w:w="433"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7.5</w:t>
            </w:r>
          </w:p>
        </w:tc>
        <w:tc>
          <w:tcPr>
            <w:tcW w:w="399"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8.5</w:t>
            </w:r>
          </w:p>
        </w:tc>
        <w:tc>
          <w:tcPr>
            <w:tcW w:w="506"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lang w:val="en-US" w:eastAsia="zh-CN"/>
              </w:rPr>
              <w:t>17964.1</w:t>
            </w:r>
          </w:p>
        </w:tc>
        <w:tc>
          <w:tcPr>
            <w:tcW w:w="447"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lang w:val="en-US" w:eastAsia="zh-CN"/>
              </w:rPr>
              <w:t>12</w:t>
            </w:r>
            <w:r>
              <w:rPr>
                <w:rFonts w:hint="eastAsia"/>
                <w:bCs/>
                <w:sz w:val="21"/>
                <w:szCs w:val="21"/>
              </w:rPr>
              <w:t>84.5</w:t>
            </w:r>
          </w:p>
        </w:tc>
        <w:tc>
          <w:tcPr>
            <w:tcW w:w="445"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rFonts w:hint="eastAsia"/>
                <w:bCs/>
                <w:sz w:val="21"/>
                <w:szCs w:val="21"/>
              </w:rPr>
              <w:t>0.</w:t>
            </w:r>
            <w:r>
              <w:rPr>
                <w:rFonts w:hint="eastAsia"/>
                <w:bCs/>
                <w:sz w:val="21"/>
                <w:szCs w:val="21"/>
                <w:lang w:val="en-US" w:eastAsia="zh-CN"/>
              </w:rPr>
              <w:t>69</w:t>
            </w:r>
          </w:p>
        </w:tc>
        <w:tc>
          <w:tcPr>
            <w:tcW w:w="370"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eastAsia" w:eastAsia="宋体"/>
                <w:bCs/>
                <w:sz w:val="21"/>
                <w:szCs w:val="21"/>
                <w:lang w:eastAsia="zh-CN"/>
              </w:rPr>
            </w:pPr>
            <w:r>
              <w:rPr>
                <w:rFonts w:hint="eastAsia"/>
                <w:bCs/>
                <w:sz w:val="21"/>
                <w:szCs w:val="21"/>
                <w:lang w:val="en-US" w:eastAsia="zh-CN"/>
              </w:rPr>
              <w:t>51</w:t>
            </w:r>
            <w:r>
              <w:rPr>
                <w:rFonts w:hint="eastAsia"/>
                <w:bCs/>
                <w:sz w:val="21"/>
                <w:szCs w:val="21"/>
              </w:rPr>
              <w:t>.</w:t>
            </w:r>
            <w:r>
              <w:rPr>
                <w:rFonts w:hint="eastAsia"/>
                <w:bCs/>
                <w:sz w:val="21"/>
                <w:szCs w:val="21"/>
                <w:lang w:val="en-US" w:eastAsia="zh-CN"/>
              </w:rPr>
              <w:t>6</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eastAsia" w:eastAsia="宋体"/>
                <w:bCs/>
                <w:sz w:val="21"/>
                <w:szCs w:val="21"/>
                <w:lang w:eastAsia="zh-CN"/>
              </w:rPr>
            </w:pPr>
            <w:r>
              <w:rPr>
                <w:rFonts w:hint="eastAsia"/>
                <w:bCs/>
                <w:sz w:val="21"/>
                <w:szCs w:val="21"/>
                <w:lang w:val="en-US" w:eastAsia="zh-CN"/>
              </w:rPr>
              <w:t>42</w:t>
            </w:r>
            <w:r>
              <w:rPr>
                <w:bCs/>
                <w:sz w:val="21"/>
                <w:szCs w:val="21"/>
              </w:rPr>
              <w:t>.</w:t>
            </w:r>
            <w:r>
              <w:rPr>
                <w:rFonts w:hint="eastAsia"/>
                <w:bCs/>
                <w:sz w:val="21"/>
                <w:szCs w:val="21"/>
                <w:lang w:val="en-US" w:eastAsia="zh-CN"/>
              </w:rPr>
              <w:t>1</w:t>
            </w:r>
          </w:p>
        </w:tc>
        <w:tc>
          <w:tcPr>
            <w:tcW w:w="34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eastAsia="宋体"/>
                <w:bCs/>
                <w:sz w:val="21"/>
                <w:szCs w:val="21"/>
                <w:lang w:val="en-US" w:eastAsia="zh-CN"/>
              </w:rPr>
            </w:pPr>
            <w:r>
              <w:rPr>
                <w:bCs/>
                <w:sz w:val="21"/>
                <w:szCs w:val="21"/>
              </w:rPr>
              <w:t>1.</w:t>
            </w:r>
            <w:r>
              <w:rPr>
                <w:rFonts w:hint="eastAsia"/>
                <w:bCs/>
                <w:sz w:val="21"/>
                <w:szCs w:val="21"/>
                <w:lang w:val="en-US" w:eastAsia="zh-CN"/>
              </w:rPr>
              <w:t>42</w:t>
            </w:r>
          </w:p>
        </w:tc>
        <w:tc>
          <w:tcPr>
            <w:tcW w:w="370" w:type="pct"/>
            <w:tcBorders>
              <w:top w:val="nil"/>
              <w:left w:val="nil"/>
              <w:bottom w:val="single" w:color="auto" w:sz="4" w:space="0"/>
              <w:right w:val="single" w:color="auto" w:sz="4" w:space="0"/>
            </w:tcBorders>
            <w:noWrap w:val="0"/>
            <w:vAlign w:val="top"/>
          </w:tcPr>
          <w:p>
            <w:pPr>
              <w:spacing w:line="240" w:lineRule="atLeast"/>
              <w:ind w:firstLine="0" w:firstLineChars="0"/>
              <w:jc w:val="center"/>
              <w:rPr>
                <w:bCs/>
                <w:sz w:val="21"/>
                <w:szCs w:val="21"/>
              </w:rPr>
            </w:pPr>
            <w:r>
              <w:rPr>
                <w:rFonts w:hint="eastAsia"/>
                <w:bCs/>
                <w:sz w:val="21"/>
                <w:szCs w:val="21"/>
              </w:rPr>
              <w:t>2.50</w:t>
            </w:r>
          </w:p>
        </w:tc>
        <w:tc>
          <w:tcPr>
            <w:tcW w:w="347"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rFonts w:hint="default"/>
                <w:bCs/>
                <w:sz w:val="21"/>
                <w:szCs w:val="21"/>
                <w:lang w:val="en-US"/>
              </w:rPr>
            </w:pPr>
            <w:r>
              <w:rPr>
                <w:rFonts w:hint="eastAsia"/>
                <w:bCs/>
                <w:sz w:val="21"/>
                <w:szCs w:val="21"/>
                <w:lang w:val="en-US" w:eastAsia="zh-CN"/>
              </w:rPr>
              <w:t>1.87</w:t>
            </w:r>
          </w:p>
        </w:tc>
        <w:tc>
          <w:tcPr>
            <w:tcW w:w="424"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spacing w:line="240" w:lineRule="atLeast"/>
              <w:ind w:firstLine="0" w:firstLineChars="0"/>
              <w:jc w:val="center"/>
              <w:rPr>
                <w:bCs/>
                <w:sz w:val="21"/>
                <w:szCs w:val="21"/>
              </w:rPr>
            </w:pPr>
            <w:r>
              <w:rPr>
                <w:rFonts w:hint="eastAsia"/>
                <w:bCs/>
                <w:sz w:val="21"/>
                <w:szCs w:val="21"/>
              </w:rPr>
              <w:t>1.05</w:t>
            </w:r>
          </w:p>
        </w:tc>
      </w:tr>
    </w:tbl>
    <w:p>
      <w:pPr>
        <w:pStyle w:val="5"/>
        <w:keepNext w:val="0"/>
      </w:pPr>
      <w:r>
        <w:rPr>
          <w:rFonts w:hint="eastAsia"/>
        </w:rPr>
        <w:t>4</w:t>
      </w:r>
      <w:r>
        <w:t>.</w:t>
      </w:r>
      <w:r>
        <w:rPr>
          <w:rFonts w:hint="eastAsia"/>
          <w:lang w:val="en-US" w:eastAsia="zh-CN"/>
        </w:rPr>
        <w:t>4</w:t>
      </w:r>
      <w:r>
        <w:rPr>
          <w:rFonts w:hint="eastAsia"/>
        </w:rPr>
        <w:t>抗</w:t>
      </w:r>
      <w:r>
        <w:t>震设计标准</w:t>
      </w:r>
    </w:p>
    <w:p>
      <w:pPr>
        <w:ind w:firstLine="480"/>
      </w:pPr>
      <w:bookmarkStart w:id="1" w:name="_Hlk527553500"/>
      <w:r>
        <w:rPr>
          <w:rFonts w:hint="eastAsia"/>
        </w:rPr>
        <w:t>查《中国地震动参数区划图》（GB18306—20</w:t>
      </w:r>
      <w:r>
        <w:t>15</w:t>
      </w:r>
      <w:r>
        <w:rPr>
          <w:rFonts w:hint="eastAsia"/>
        </w:rPr>
        <w:t>），工程所在地震设防烈度为</w:t>
      </w:r>
      <w:r>
        <w:t>Ⅶ度</w:t>
      </w:r>
      <w:r>
        <w:rPr>
          <w:rFonts w:hint="eastAsia"/>
        </w:rPr>
        <w:t>，设计基本地震加速度值为0.10g。</w:t>
      </w:r>
    </w:p>
    <w:bookmarkEnd w:id="1"/>
    <w:p>
      <w:pPr>
        <w:pStyle w:val="4"/>
        <w:keepNext w:val="0"/>
      </w:pPr>
      <w:r>
        <w:rPr>
          <w:rFonts w:hint="eastAsia"/>
        </w:rPr>
        <w:t>5工程设计</w:t>
      </w:r>
    </w:p>
    <w:p>
      <w:pPr>
        <w:pStyle w:val="5"/>
        <w:keepNext w:val="0"/>
      </w:pPr>
      <w:r>
        <w:rPr>
          <w:rFonts w:hint="eastAsia"/>
        </w:rPr>
        <w:t>5</w:t>
      </w:r>
      <w:r>
        <w:t>.</w:t>
      </w:r>
      <w:r>
        <w:rPr>
          <w:rFonts w:hint="eastAsia"/>
          <w:lang w:val="en-US" w:eastAsia="zh-CN"/>
        </w:rPr>
        <w:t>1河道</w:t>
      </w:r>
      <w:r>
        <w:rPr>
          <w:rFonts w:hint="eastAsia"/>
        </w:rPr>
        <w:t>工程</w:t>
      </w:r>
    </w:p>
    <w:p>
      <w:pPr>
        <w:bidi w:val="0"/>
        <w:rPr>
          <w:rFonts w:hint="eastAsia"/>
          <w:lang w:val="en-US" w:eastAsia="zh-CN"/>
        </w:rPr>
      </w:pPr>
      <w:r>
        <w:rPr>
          <w:rFonts w:hint="eastAsia"/>
          <w:lang w:val="en-US" w:eastAsia="zh-CN"/>
        </w:rPr>
        <w:t>本次工程河道位于蜀冈冲干河末段，在现状蜀冈冲水系的基础上拓宽、沟通、整治而成，干河长度150m，铁路以西段岸顶控制高程14.84m，湖底高程11.34m，常水位13.5m，河道断面主要采用自然边坡型式，两侧常水位以下设连锁块护坡，下设砂石垫层和土工布，边坡1：2。</w:t>
      </w:r>
    </w:p>
    <w:p>
      <w:pPr>
        <w:pStyle w:val="5"/>
        <w:keepNext w:val="0"/>
      </w:pPr>
      <w:r>
        <w:rPr>
          <w:rFonts w:hint="eastAsia"/>
        </w:rPr>
        <w:t>5</w:t>
      </w:r>
      <w:r>
        <w:t>.</w:t>
      </w:r>
      <w:r>
        <w:rPr>
          <w:rFonts w:hint="eastAsia"/>
          <w:lang w:val="en-US" w:eastAsia="zh-CN"/>
        </w:rPr>
        <w:t>2</w:t>
      </w:r>
      <w:r>
        <w:rPr>
          <w:rFonts w:hint="eastAsia"/>
        </w:rPr>
        <w:t>建筑物工程</w:t>
      </w:r>
    </w:p>
    <w:p>
      <w:pPr>
        <w:pStyle w:val="6"/>
        <w:rPr>
          <w:rFonts w:hint="default" w:eastAsia="宋体"/>
          <w:lang w:val="en-US" w:eastAsia="zh-CN"/>
        </w:rPr>
      </w:pPr>
      <w:bookmarkStart w:id="2" w:name="_Hlk529545779"/>
      <w:r>
        <w:rPr>
          <w:rFonts w:hint="eastAsia"/>
        </w:rPr>
        <w:t>5</w:t>
      </w:r>
      <w:r>
        <w:t>.</w:t>
      </w:r>
      <w:r>
        <w:rPr>
          <w:rFonts w:hint="eastAsia"/>
          <w:lang w:val="en-US" w:eastAsia="zh-CN"/>
        </w:rPr>
        <w:t>2</w:t>
      </w:r>
      <w:r>
        <w:t>.1</w:t>
      </w:r>
      <w:r>
        <w:rPr>
          <w:rFonts w:hint="eastAsia"/>
          <w:lang w:val="en-US" w:eastAsia="zh-CN"/>
        </w:rPr>
        <w:t>滚水坝设计</w:t>
      </w:r>
    </w:p>
    <w:p>
      <w:pPr>
        <w:ind w:firstLine="480"/>
        <w:rPr>
          <w:rFonts w:hint="eastAsia"/>
        </w:rPr>
      </w:pPr>
      <w:r>
        <w:rPr>
          <w:rFonts w:hint="eastAsia"/>
          <w:lang w:val="en-US" w:eastAsia="zh-CN"/>
        </w:rPr>
        <w:t>由于铁路以东段受用地条件约束，无法布置，本次新建</w:t>
      </w:r>
      <w:r>
        <w:rPr>
          <w:rFonts w:hint="eastAsia"/>
        </w:rPr>
        <w:t>滚水坝</w:t>
      </w:r>
      <w:r>
        <w:rPr>
          <w:rFonts w:hint="eastAsia"/>
          <w:lang w:val="en-US" w:eastAsia="zh-CN"/>
        </w:rPr>
        <w:t>建于铁路以西段，滚水坝</w:t>
      </w:r>
      <w:r>
        <w:rPr>
          <w:rFonts w:hint="eastAsia"/>
        </w:rPr>
        <w:t>采用钢筋砼结构，坝身段长</w:t>
      </w:r>
      <w:r>
        <w:rPr>
          <w:rFonts w:hint="eastAsia"/>
          <w:lang w:val="en-US" w:eastAsia="zh-CN"/>
        </w:rPr>
        <w:t>21.1</w:t>
      </w:r>
      <w:r>
        <w:rPr>
          <w:rFonts w:hint="eastAsia"/>
        </w:rPr>
        <w:t>m，挡水高程为</w:t>
      </w:r>
      <w:r>
        <w:rPr>
          <w:rFonts w:hint="eastAsia"/>
          <w:lang w:val="en-US" w:eastAsia="zh-CN"/>
        </w:rPr>
        <w:t>13.5</w:t>
      </w:r>
      <w:r>
        <w:rPr>
          <w:rFonts w:hint="eastAsia"/>
        </w:rPr>
        <w:t>m，坝宽</w:t>
      </w:r>
      <w:r>
        <w:rPr>
          <w:rFonts w:hint="eastAsia"/>
          <w:lang w:val="en-US" w:eastAsia="zh-CN"/>
        </w:rPr>
        <w:t>13</w:t>
      </w:r>
      <w:r>
        <w:rPr>
          <w:rFonts w:hint="eastAsia"/>
        </w:rPr>
        <w:t>m。上下游均采用护砌及钢筋砼挡墙与河道顺接。</w:t>
      </w:r>
    </w:p>
    <w:p>
      <w:pPr>
        <w:pStyle w:val="6"/>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5.2.2</w:t>
      </w:r>
      <w:r>
        <w:rPr>
          <w:rFonts w:hint="eastAsia" w:cs="Times New Roman"/>
          <w:lang w:val="en-US" w:eastAsia="zh-CN"/>
        </w:rPr>
        <w:t>活水泵站及</w:t>
      </w:r>
      <w:r>
        <w:rPr>
          <w:rFonts w:hint="eastAsia" w:ascii="Times New Roman" w:hAnsi="Times New Roman" w:eastAsia="宋体" w:cs="Times New Roman"/>
          <w:lang w:val="en-US" w:eastAsia="zh-CN"/>
        </w:rPr>
        <w:t>输水管道埋设</w:t>
      </w:r>
    </w:p>
    <w:p>
      <w:pPr>
        <w:ind w:firstLine="480"/>
        <w:rPr>
          <w:rFonts w:hint="eastAsia" w:ascii="Times New Roman" w:hAnsi="Times New Roman" w:cs="Times New Roman"/>
          <w:highlight w:val="none"/>
        </w:rPr>
      </w:pPr>
      <w:r>
        <w:rPr>
          <w:rFonts w:hint="eastAsia" w:ascii="Times New Roman" w:hAnsi="Times New Roman" w:cs="Times New Roman"/>
          <w:highlight w:val="none"/>
        </w:rPr>
        <w:t>蜀冈冲干河活水线路由沿山河活水泵站通过压力管道输水至项目区，活水水源流入星月湖后（常水位22.0m），经现状滚水坝溢流至蜀冈冲新邗江中学段（常水位19.0m~17.0m），再经现状滚水坝溢流至本次规划东湖（常水位</w:t>
      </w:r>
      <w:r>
        <w:rPr>
          <w:rFonts w:hint="eastAsia" w:cs="Times New Roman"/>
          <w:highlight w:val="none"/>
          <w:lang w:val="en-US" w:eastAsia="zh-CN"/>
        </w:rPr>
        <w:t>15.0</w:t>
      </w:r>
      <w:r>
        <w:rPr>
          <w:rFonts w:hint="eastAsia" w:ascii="Times New Roman" w:hAnsi="Times New Roman" w:cs="Times New Roman"/>
          <w:highlight w:val="none"/>
        </w:rPr>
        <w:t>m），最后穿宁启铁路涵经沿山河排出。</w:t>
      </w:r>
    </w:p>
    <w:p>
      <w:pPr>
        <w:ind w:firstLine="480"/>
        <w:rPr>
          <w:rFonts w:hint="eastAsia" w:ascii="Times New Roman" w:hAnsi="Times New Roman" w:cs="Times New Roman"/>
          <w:highlight w:val="none"/>
        </w:rPr>
      </w:pPr>
      <w:r>
        <w:rPr>
          <w:rFonts w:hint="eastAsia" w:cs="Times New Roman"/>
          <w:highlight w:val="none"/>
          <w:lang w:val="en-US" w:eastAsia="zh-CN"/>
        </w:rPr>
        <w:t>活水泵站设计流量0.12m</w:t>
      </w:r>
      <w:r>
        <w:rPr>
          <w:rFonts w:hint="eastAsia" w:cs="Times New Roman"/>
          <w:highlight w:val="none"/>
          <w:vertAlign w:val="superscript"/>
          <w:lang w:val="en-US" w:eastAsia="zh-CN"/>
        </w:rPr>
        <w:t>3</w:t>
      </w:r>
      <w:r>
        <w:rPr>
          <w:rFonts w:hint="eastAsia" w:cs="Times New Roman"/>
          <w:highlight w:val="none"/>
          <w:lang w:val="en-US" w:eastAsia="zh-CN"/>
        </w:rPr>
        <w:t>/s，采用2台潜污泵，配套75KW电机</w:t>
      </w:r>
      <w:r>
        <w:rPr>
          <w:rFonts w:hint="eastAsia" w:ascii="Times New Roman" w:hAnsi="Times New Roman" w:cs="Times New Roman"/>
          <w:highlight w:val="none"/>
        </w:rPr>
        <w:t>，现状DN400mm输水管线</w:t>
      </w:r>
      <w:r>
        <w:rPr>
          <w:rFonts w:hint="eastAsia" w:cs="Times New Roman"/>
          <w:highlight w:val="none"/>
          <w:lang w:val="en-US" w:eastAsia="zh-CN"/>
        </w:rPr>
        <w:t>部分路段</w:t>
      </w:r>
      <w:r>
        <w:rPr>
          <w:rFonts w:hint="eastAsia" w:ascii="Times New Roman" w:hAnsi="Times New Roman" w:cs="Times New Roman"/>
          <w:highlight w:val="none"/>
        </w:rPr>
        <w:t>已预埋，本次只需新建管径DN400mmPE压力管道</w:t>
      </w:r>
      <w:r>
        <w:rPr>
          <w:rFonts w:hint="eastAsia" w:cs="Times New Roman"/>
          <w:highlight w:val="none"/>
          <w:lang w:val="en-US" w:eastAsia="zh-CN"/>
        </w:rPr>
        <w:t>600</w:t>
      </w:r>
      <w:r>
        <w:rPr>
          <w:rFonts w:hint="eastAsia" w:ascii="Times New Roman" w:hAnsi="Times New Roman" w:cs="Times New Roman"/>
          <w:highlight w:val="none"/>
        </w:rPr>
        <w:t>m与现状</w:t>
      </w:r>
      <w:r>
        <w:rPr>
          <w:rFonts w:hint="eastAsia" w:cs="Times New Roman"/>
          <w:highlight w:val="none"/>
          <w:lang w:val="en-US" w:eastAsia="zh-CN"/>
        </w:rPr>
        <w:t>预埋管道相接</w:t>
      </w:r>
      <w:r>
        <w:rPr>
          <w:rFonts w:hint="eastAsia" w:ascii="Times New Roman" w:hAnsi="Times New Roman" w:cs="Times New Roman"/>
          <w:highlight w:val="none"/>
        </w:rPr>
        <w:t>，新建管线主要布置于</w:t>
      </w:r>
      <w:r>
        <w:rPr>
          <w:rFonts w:hint="eastAsia" w:cs="Times New Roman"/>
          <w:highlight w:val="none"/>
          <w:lang w:val="en-US" w:eastAsia="zh-CN"/>
        </w:rPr>
        <w:t>沿线河道河底，埋设深度1m</w:t>
      </w:r>
      <w:r>
        <w:rPr>
          <w:rFonts w:hint="eastAsia" w:ascii="Times New Roman" w:hAnsi="Times New Roman" w:cs="Times New Roman"/>
          <w:highlight w:val="none"/>
        </w:rPr>
        <w:t>。</w:t>
      </w:r>
    </w:p>
    <w:bookmarkEnd w:id="2"/>
    <w:p>
      <w:pPr>
        <w:pStyle w:val="5"/>
        <w:keepNext w:val="0"/>
      </w:pPr>
      <w:r>
        <w:rPr>
          <w:rFonts w:hint="eastAsia"/>
        </w:rPr>
        <w:t>5.</w:t>
      </w:r>
      <w:r>
        <w:rPr>
          <w:rFonts w:hint="eastAsia"/>
          <w:lang w:val="en-US" w:eastAsia="zh-CN"/>
        </w:rPr>
        <w:t>3</w:t>
      </w:r>
      <w:r>
        <w:rPr>
          <w:rFonts w:hint="eastAsia"/>
        </w:rPr>
        <w:t>水土保持工程设计</w:t>
      </w:r>
    </w:p>
    <w:p>
      <w:pPr>
        <w:pStyle w:val="6"/>
        <w:rPr>
          <w:szCs w:val="24"/>
        </w:rPr>
      </w:pPr>
      <w:bookmarkStart w:id="3" w:name="_Hlk527549795"/>
      <w:r>
        <w:rPr>
          <w:rFonts w:hint="eastAsia"/>
          <w:szCs w:val="24"/>
        </w:rPr>
        <w:t>5.</w:t>
      </w:r>
      <w:r>
        <w:rPr>
          <w:rFonts w:hint="eastAsia"/>
          <w:szCs w:val="24"/>
          <w:lang w:val="en-US" w:eastAsia="zh-CN"/>
        </w:rPr>
        <w:t>3</w:t>
      </w:r>
      <w:r>
        <w:rPr>
          <w:rFonts w:hint="eastAsia"/>
          <w:szCs w:val="24"/>
        </w:rPr>
        <w:t>.1工程措施设计</w:t>
      </w:r>
    </w:p>
    <w:p>
      <w:pPr>
        <w:ind w:firstLine="480"/>
      </w:pPr>
      <w:r>
        <w:t>工程开工前，对建筑物工程区、施工生产生活区存在表土资源进行表土剥离，剥离厚度30cm。施工结束后，对工程绿化区域、建筑物绿化区域及需要迹地恢复的施工生产生活区进行进行绿化覆土，覆土厚度30cm。对工程绿化区域、建筑物绿化区域、弃土区及需要迹地恢复的施工生产生活区、临时堆土区进行土地整治。</w:t>
      </w:r>
    </w:p>
    <w:p>
      <w:pPr>
        <w:pStyle w:val="6"/>
        <w:rPr>
          <w:szCs w:val="24"/>
        </w:rPr>
      </w:pPr>
      <w:r>
        <w:rPr>
          <w:szCs w:val="24"/>
        </w:rPr>
        <w:t>5.</w:t>
      </w:r>
      <w:r>
        <w:rPr>
          <w:rFonts w:hint="eastAsia"/>
          <w:szCs w:val="24"/>
          <w:lang w:val="en-US" w:eastAsia="zh-CN"/>
        </w:rPr>
        <w:t>3</w:t>
      </w:r>
      <w:r>
        <w:rPr>
          <w:szCs w:val="24"/>
        </w:rPr>
        <w:t>.2植物措施设计</w:t>
      </w:r>
    </w:p>
    <w:p>
      <w:pPr>
        <w:ind w:firstLine="480"/>
      </w:pPr>
      <w:r>
        <w:t>施工结束后，在弃土区表面、占用草地的施工生产生活区、临时堆土区等迹地进行撒播草籽绿化，草籽选用百慕大和黑麦草，按1:1比例混播，播种量100kg/hm</w:t>
      </w:r>
      <w:r>
        <w:rPr>
          <w:vertAlign w:val="superscript"/>
        </w:rPr>
        <w:t>2</w:t>
      </w:r>
      <w:r>
        <w:t>。</w:t>
      </w:r>
    </w:p>
    <w:p>
      <w:pPr>
        <w:pStyle w:val="6"/>
        <w:rPr>
          <w:szCs w:val="24"/>
        </w:rPr>
      </w:pPr>
      <w:r>
        <w:rPr>
          <w:szCs w:val="24"/>
        </w:rPr>
        <w:t>5</w:t>
      </w:r>
      <w:r>
        <w:rPr>
          <w:rFonts w:hint="eastAsia"/>
          <w:szCs w:val="24"/>
          <w:lang w:val="en-US" w:eastAsia="zh-CN"/>
        </w:rPr>
        <w:t>.3</w:t>
      </w:r>
      <w:r>
        <w:rPr>
          <w:szCs w:val="24"/>
        </w:rPr>
        <w:t>.3临时措施设计</w:t>
      </w:r>
    </w:p>
    <w:p>
      <w:pPr>
        <w:ind w:firstLine="480"/>
      </w:pPr>
      <w:r>
        <w:t>工程剥离的表土临时堆放于临时堆土区，堆土前，沿堆土区四周采用填土草袋进行围护，填土土袋挡墙高1.0m、顶宽0.5m、底宽1.5m，梯形断面，堆砌时应相互咬合、搭接，搭接长度不小于土袋长度的1/3，施工结束后拆除。</w:t>
      </w:r>
    </w:p>
    <w:p>
      <w:pPr>
        <w:ind w:firstLine="480"/>
      </w:pPr>
      <w:r>
        <w:t>为便于雨水的排水，施工期间在弃土区、施工生产生活区及临时堆土区周边设置临时砖砌排水沟，排水沟为矩形断面，开挖面为0.54m宽、0.36m深，砌砖后尺寸为0.3m宽、0.3m深，单米排水沟需开挖土方0.194m</w:t>
      </w:r>
      <w:r>
        <w:rPr>
          <w:vertAlign w:val="superscript"/>
        </w:rPr>
        <w:t>3</w:t>
      </w:r>
      <w:r>
        <w:t>，需砖砌0.104m</w:t>
      </w:r>
      <w:r>
        <w:rPr>
          <w:vertAlign w:val="superscript"/>
        </w:rPr>
        <w:t>3</w:t>
      </w:r>
      <w:r>
        <w:t>。排水沟末端连接沉沙池，进行泥沙沉淀，沉沙池为容积2m</w:t>
      </w:r>
      <w:r>
        <w:rPr>
          <w:vertAlign w:val="superscript"/>
        </w:rPr>
        <w:t>3</w:t>
      </w:r>
      <w:r>
        <w:t>砖砌矩形临时沉沙池，尺寸为长2.0m，宽1.0m，深1.0m，池口加盖板。</w:t>
      </w:r>
    </w:p>
    <w:p>
      <w:pPr>
        <w:ind w:firstLine="480"/>
      </w:pPr>
      <w:r>
        <w:t>施工期间，对建筑物工程区及施工生产生活区临时堆土区裸露地面，对弃土区弃土表面、临时堆土区堆土表面进行编织布苫盖。</w:t>
      </w:r>
    </w:p>
    <w:p>
      <w:pPr>
        <w:pStyle w:val="5"/>
      </w:pPr>
      <w:r>
        <w:t>5.</w:t>
      </w:r>
      <w:r>
        <w:rPr>
          <w:rFonts w:hint="eastAsia"/>
          <w:lang w:val="en-US" w:eastAsia="zh-CN"/>
        </w:rPr>
        <w:t>4</w:t>
      </w:r>
      <w:r>
        <w:rPr>
          <w:rFonts w:hint="eastAsia"/>
        </w:rPr>
        <w:t>环境保护措施</w:t>
      </w:r>
    </w:p>
    <w:p>
      <w:pPr>
        <w:ind w:firstLine="480"/>
      </w:pPr>
      <w:r>
        <w:rPr>
          <w:rFonts w:hint="eastAsia"/>
        </w:rPr>
        <w:t>工程施工应符合《建设项目环境保护管理条例》、《中华人民共和国水污染防治法实施细则》等环境保护相关法律、法规及规范、标准的要求。施工过程中应注意加强环境保护工作，尽可能降低施工对施工区及其周边区域带来的不利影响。</w:t>
      </w:r>
    </w:p>
    <w:p>
      <w:pPr>
        <w:numPr>
          <w:ilvl w:val="0"/>
          <w:numId w:val="1"/>
        </w:numPr>
        <w:ind w:firstLine="480"/>
      </w:pPr>
      <w:r>
        <w:t>优化施工布置、加快施工进度，减少临时占地面积，减少对自然生态扰动。</w:t>
      </w:r>
    </w:p>
    <w:p>
      <w:pPr>
        <w:numPr>
          <w:ilvl w:val="0"/>
          <w:numId w:val="1"/>
        </w:numPr>
        <w:ind w:firstLine="480"/>
      </w:pPr>
      <w:r>
        <w:rPr>
          <w:rFonts w:hint="eastAsia"/>
        </w:rPr>
        <w:t>应通过设置碱性废水沉淀池、不锈钢隔油池等措施对施工期间产生的废水进行达标处理。冲洗废水通过场内设置的集水沟进入隔油沉淀池，处理达标后废水可回用于道路和施工场地洒水，禁止排入水体和农田。</w:t>
      </w:r>
    </w:p>
    <w:p>
      <w:pPr>
        <w:ind w:firstLine="480"/>
      </w:pPr>
      <w:r>
        <w:rPr>
          <w:rFonts w:hint="eastAsia"/>
        </w:rPr>
        <w:t>3、</w:t>
      </w:r>
      <w:r>
        <w:t>在穿堤建筑物、取弃土场、施工便道等多粉尘作业面配备人员及设备进行定时洒水，在无雨日冬春季每天4～6次，夏季8～10次，洒水面积需尽量覆盖所有干燥裸露面。建筑土方</w:t>
      </w:r>
      <w:r>
        <w:rPr>
          <w:rFonts w:hint="eastAsia"/>
        </w:rPr>
        <w:t>、砂石料及其他施工物料</w:t>
      </w:r>
      <w:r>
        <w:t>、工程渣土、建筑垃圾应当及时运输到指定场所进行处置；在场地内堆存的，应当</w:t>
      </w:r>
      <w:r>
        <w:rPr>
          <w:rFonts w:hint="eastAsia"/>
        </w:rPr>
        <w:t>采用</w:t>
      </w:r>
      <w:r>
        <w:t>有效覆盖</w:t>
      </w:r>
      <w:r>
        <w:rPr>
          <w:rFonts w:hint="eastAsia"/>
        </w:rPr>
        <w:t>或建设其他</w:t>
      </w:r>
      <w:r>
        <w:t>防风抑尘设施。施工设计中场内主要运输道路尽可能避开居民点50m以上，且在居民点附近设置限速标志，同时对路面进行硬化，减少路面扬尘。渣土运输车辆应采取密闭措施，装卸和运输煤炭、水泥、砂土、垃圾等易产生扬尘的作业，应当采取遮盖、封闭、喷淋、围挡等措施，防止抛洒、扬尘。施工现场出入口位置配备车辆冲洗设施，施工车辆须常清洗，以减少交通扬尘影响，尽量避免施工车辆把泥土带出施工现场。</w:t>
      </w:r>
    </w:p>
    <w:p>
      <w:pPr>
        <w:ind w:firstLine="480"/>
      </w:pPr>
      <w:r>
        <w:t>4</w:t>
      </w:r>
      <w:r>
        <w:rPr>
          <w:rFonts w:hint="eastAsia"/>
        </w:rPr>
        <w:t>、</w:t>
      </w:r>
      <w:r>
        <w:rPr>
          <w:spacing w:val="4"/>
        </w:rPr>
        <w:t>通过施工布置、选择环保材料、减震设备、设置隔声间等从源头控制噪声。合理安排施工区位置，噪声大的施工机械应尽可能远离居民区</w:t>
      </w:r>
      <w:r>
        <w:rPr>
          <w:rFonts w:hint="eastAsia"/>
          <w:spacing w:val="4"/>
        </w:rPr>
        <w:t>。</w:t>
      </w:r>
      <w:r>
        <w:rPr>
          <w:spacing w:val="4"/>
        </w:rPr>
        <w:t>改善施工人员的作业条件，高噪声环境下的施工作业人员、每人每天的工作时间不多于6h。给受噪声影响大的施工人员配发噪声防护用具。距离堤防工程50m以内的敏感保护目标设置芯材为玻璃棉等吸声材料的移动式隔声屏障，距离堤防距离超过50m的采用一般移动式声屏障。</w:t>
      </w:r>
    </w:p>
    <w:p>
      <w:pPr>
        <w:ind w:firstLine="496"/>
      </w:pPr>
      <w:r>
        <w:rPr>
          <w:spacing w:val="4"/>
          <w:szCs w:val="20"/>
        </w:rPr>
        <w:t>5</w:t>
      </w:r>
      <w:r>
        <w:rPr>
          <w:rFonts w:hint="eastAsia"/>
          <w:spacing w:val="4"/>
          <w:szCs w:val="20"/>
        </w:rPr>
        <w:t>、</w:t>
      </w:r>
      <w:r>
        <w:rPr>
          <w:spacing w:val="4"/>
          <w:szCs w:val="20"/>
        </w:rPr>
        <w:t>工程结束后，拆除施工区的临建设施，及时进行场地清理，清理建筑垃圾及各种杂物，对其周围的施工迹地和场地清理，并用生石灰、石炭酸进行消毒，做好施工迹地恢复工作。</w:t>
      </w:r>
    </w:p>
    <w:p>
      <w:pPr>
        <w:ind w:firstLine="480"/>
      </w:pPr>
      <w:r>
        <w:t>6</w:t>
      </w:r>
      <w:r>
        <w:rPr>
          <w:rFonts w:hint="eastAsia"/>
        </w:rPr>
        <w:t>、采取其他可有效降低施工期间环境影响的措施。</w:t>
      </w:r>
    </w:p>
    <w:bookmarkEnd w:id="3"/>
    <w:p>
      <w:pPr>
        <w:pStyle w:val="5"/>
      </w:pPr>
      <w:r>
        <w:t>5.</w:t>
      </w:r>
      <w:r>
        <w:rPr>
          <w:rFonts w:hint="eastAsia"/>
          <w:lang w:val="en-US" w:eastAsia="zh-CN"/>
        </w:rPr>
        <w:t>5</w:t>
      </w:r>
      <w:r>
        <w:t>耐久性设计</w:t>
      </w:r>
    </w:p>
    <w:p>
      <w:pPr>
        <w:ind w:firstLine="480"/>
        <w:rPr>
          <w:rFonts w:hint="eastAsia"/>
        </w:rPr>
      </w:pPr>
      <w:r>
        <w:rPr>
          <w:rFonts w:hint="eastAsia"/>
        </w:rPr>
        <w:t>本工程等别为IV等，根据《水利水电工程合理使用年限及耐久性设计规范》（SL654-2014）第3.0.2条及3.0.5条确定，本次工程合理使用年限为30年。</w:t>
      </w:r>
    </w:p>
    <w:p>
      <w:pPr>
        <w:pStyle w:val="6"/>
      </w:pPr>
      <w:r>
        <w:t>5.</w:t>
      </w:r>
      <w:r>
        <w:rPr>
          <w:rFonts w:hint="eastAsia"/>
          <w:lang w:val="en-US" w:eastAsia="zh-CN"/>
        </w:rPr>
        <w:t>5</w:t>
      </w:r>
      <w:r>
        <w:t>.1材料要求</w:t>
      </w:r>
    </w:p>
    <w:p>
      <w:pPr>
        <w:spacing w:line="346" w:lineRule="auto"/>
        <w:ind w:firstLine="480"/>
      </w:pPr>
      <w:r>
        <w:t>1、混凝土</w:t>
      </w:r>
    </w:p>
    <w:p>
      <w:pPr>
        <w:spacing w:line="346" w:lineRule="auto"/>
        <w:ind w:firstLine="480"/>
      </w:pPr>
      <w:r>
        <w:t>（1）混凝土耐久性基本要求</w:t>
      </w:r>
    </w:p>
    <w:p>
      <w:pPr>
        <w:ind w:firstLine="480"/>
        <w:rPr>
          <w:rFonts w:hint="eastAsia"/>
        </w:rPr>
      </w:pPr>
      <w:r>
        <w:rPr>
          <w:rFonts w:hint="eastAsia"/>
        </w:rPr>
        <w:t>①</w:t>
      </w:r>
      <w:r>
        <w:t xml:space="preserve"> 本工程主要水工建筑物主体结构混凝土强度等级采用C</w:t>
      </w:r>
      <w:r>
        <w:rPr>
          <w:rFonts w:hint="eastAsia"/>
          <w:lang w:val="en-US" w:eastAsia="zh-CN"/>
        </w:rPr>
        <w:t>25</w:t>
      </w:r>
      <w:r>
        <w:t>，钢筋砼预制件混凝土强度等级采用C30，护底和护坡格梗采用C25，预制块护坡砖采用C30。混凝土抗冻等级均为F50，防渗范围内的混凝土建筑物抗渗等级均为W4</w:t>
      </w:r>
      <w:r>
        <w:rPr>
          <w:rFonts w:hint="eastAsia"/>
        </w:rPr>
        <w:t>，“</w:t>
      </w:r>
      <w:r>
        <w:t>裂缝控制应符合《水工混凝土设计规范》（SL191-2008）中相关条文要求</w:t>
      </w:r>
      <w:r>
        <w:rPr>
          <w:rFonts w:hint="eastAsia"/>
        </w:rPr>
        <w:t>”</w:t>
      </w:r>
      <w:r>
        <w:t>的说明</w:t>
      </w:r>
      <w:r>
        <w:rPr>
          <w:rFonts w:hint="eastAsia"/>
        </w:rPr>
        <w:t>，具体控制条件如下：</w:t>
      </w:r>
    </w:p>
    <w:p>
      <w:pPr>
        <w:ind w:firstLine="0" w:firstLineChars="0"/>
        <w:jc w:val="center"/>
        <w:rPr>
          <w:rFonts w:hint="eastAsia"/>
          <w:b/>
        </w:rPr>
      </w:pPr>
      <w:r>
        <w:rPr>
          <w:b/>
        </w:rPr>
        <w:t>表5</w:t>
      </w:r>
      <w:r>
        <w:rPr>
          <w:rFonts w:hint="eastAsia"/>
          <w:b/>
          <w:lang w:val="en-US" w:eastAsia="zh-CN"/>
        </w:rPr>
        <w:t>.6-1</w:t>
      </w:r>
      <w:r>
        <w:rPr>
          <w:rFonts w:hint="eastAsia"/>
          <w:b/>
        </w:rPr>
        <w:t xml:space="preserve"> 结构构件的裂缝控制等级及最大裂缝宽度限值</w:t>
      </w:r>
      <w:r>
        <w:rPr>
          <w:rFonts w:hint="eastAsia"/>
          <w:b/>
        </w:rPr>
        <w:object>
          <v:shape id="_x0000_i1025" o:spt="75" type="#_x0000_t75" style="height:16.3pt;width:20.4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hint="eastAsia"/>
          <w:b/>
        </w:rPr>
        <w:t>（mm）</w:t>
      </w:r>
    </w:p>
    <w:tbl>
      <w:tblPr>
        <w:tblStyle w:val="19"/>
        <w:tblW w:w="5000" w:type="pct"/>
        <w:jc w:val="center"/>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autofit"/>
        <w:tblCellMar>
          <w:top w:w="0" w:type="dxa"/>
          <w:left w:w="108" w:type="dxa"/>
          <w:bottom w:w="0" w:type="dxa"/>
          <w:right w:w="108" w:type="dxa"/>
        </w:tblCellMar>
      </w:tblPr>
      <w:tblGrid>
        <w:gridCol w:w="4673"/>
        <w:gridCol w:w="4699"/>
      </w:tblGrid>
      <w:tr>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486" w:hRule="atLeast"/>
          <w:jc w:val="center"/>
        </w:trPr>
        <w:tc>
          <w:tcPr>
            <w:tcW w:w="2493" w:type="pct"/>
            <w:vMerge w:val="restart"/>
            <w:vAlign w:val="center"/>
          </w:tcPr>
          <w:p>
            <w:pPr>
              <w:pStyle w:val="68"/>
              <w:adjustRightInd w:val="0"/>
              <w:spacing w:line="240" w:lineRule="auto"/>
              <w:ind w:firstLine="0" w:firstLineChars="0"/>
              <w:rPr>
                <w:rFonts w:ascii="Times New Roman"/>
                <w:color w:val="auto"/>
                <w:sz w:val="21"/>
                <w:highlight w:val="none"/>
              </w:rPr>
            </w:pPr>
            <w:r>
              <w:rPr>
                <w:rFonts w:ascii="Times New Roman"/>
                <w:color w:val="auto"/>
                <w:sz w:val="21"/>
                <w:highlight w:val="none"/>
              </w:rPr>
              <w:t>环境类别</w:t>
            </w:r>
          </w:p>
        </w:tc>
        <w:tc>
          <w:tcPr>
            <w:tcW w:w="2506" w:type="pct"/>
            <w:vAlign w:val="center"/>
          </w:tcPr>
          <w:p>
            <w:pPr>
              <w:pStyle w:val="68"/>
              <w:adjustRightInd w:val="0"/>
              <w:spacing w:line="240" w:lineRule="auto"/>
              <w:ind w:firstLine="0" w:firstLineChars="0"/>
              <w:rPr>
                <w:rFonts w:ascii="Times New Roman"/>
                <w:color w:val="auto"/>
                <w:sz w:val="21"/>
                <w:highlight w:val="none"/>
              </w:rPr>
            </w:pPr>
            <w:r>
              <w:rPr>
                <w:rFonts w:ascii="Times New Roman"/>
                <w:color w:val="auto"/>
                <w:sz w:val="21"/>
                <w:highlight w:val="none"/>
              </w:rPr>
              <w:t>钢筋混凝土结构</w:t>
            </w:r>
          </w:p>
        </w:tc>
      </w:tr>
      <w:tr>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425" w:hRule="atLeast"/>
          <w:jc w:val="center"/>
        </w:trPr>
        <w:tc>
          <w:tcPr>
            <w:tcW w:w="2493" w:type="pct"/>
            <w:vMerge w:val="continue"/>
            <w:vAlign w:val="center"/>
          </w:tcPr>
          <w:p>
            <w:pPr>
              <w:pStyle w:val="68"/>
              <w:adjustRightInd w:val="0"/>
              <w:spacing w:line="240" w:lineRule="auto"/>
              <w:ind w:firstLine="0" w:firstLineChars="0"/>
              <w:rPr>
                <w:rFonts w:ascii="Times New Roman"/>
                <w:color w:val="auto"/>
                <w:sz w:val="21"/>
                <w:highlight w:val="none"/>
              </w:rPr>
            </w:pPr>
          </w:p>
        </w:tc>
        <w:tc>
          <w:tcPr>
            <w:tcW w:w="2506" w:type="pct"/>
            <w:vAlign w:val="center"/>
          </w:tcPr>
          <w:p>
            <w:pPr>
              <w:pStyle w:val="68"/>
              <w:adjustRightInd w:val="0"/>
              <w:spacing w:line="240" w:lineRule="auto"/>
              <w:ind w:firstLine="0" w:firstLineChars="0"/>
              <w:rPr>
                <w:rFonts w:ascii="Times New Roman"/>
                <w:color w:val="auto"/>
                <w:sz w:val="21"/>
                <w:highlight w:val="none"/>
              </w:rPr>
            </w:pPr>
            <w:r>
              <w:rPr>
                <w:rFonts w:ascii="Times New Roman"/>
                <w:color w:val="auto"/>
                <w:position w:val="-10"/>
                <w:sz w:val="21"/>
                <w:highlight w:val="none"/>
              </w:rPr>
              <w:object>
                <v:shape id="_x0000_i1026" o:spt="75" type="#_x0000_t75" style="height:14.95pt;width:18.3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p>
        </w:tc>
      </w:tr>
      <w:tr>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493" w:type="pct"/>
            <w:vAlign w:val="center"/>
          </w:tcPr>
          <w:p>
            <w:pPr>
              <w:pStyle w:val="68"/>
              <w:adjustRightInd w:val="0"/>
              <w:spacing w:line="240" w:lineRule="auto"/>
              <w:ind w:firstLine="0" w:firstLineChars="0"/>
              <w:rPr>
                <w:rFonts w:ascii="Times New Roman"/>
                <w:color w:val="auto"/>
                <w:sz w:val="21"/>
                <w:highlight w:val="none"/>
              </w:rPr>
            </w:pPr>
            <w:r>
              <w:rPr>
                <w:rFonts w:ascii="Times New Roman"/>
                <w:color w:val="auto"/>
                <w:sz w:val="21"/>
                <w:highlight w:val="none"/>
              </w:rPr>
              <w:t>二</w:t>
            </w:r>
          </w:p>
        </w:tc>
        <w:tc>
          <w:tcPr>
            <w:tcW w:w="2506" w:type="pct"/>
            <w:vAlign w:val="center"/>
          </w:tcPr>
          <w:p>
            <w:pPr>
              <w:pStyle w:val="68"/>
              <w:adjustRightInd w:val="0"/>
              <w:spacing w:line="240" w:lineRule="auto"/>
              <w:ind w:firstLine="0" w:firstLineChars="0"/>
              <w:rPr>
                <w:rFonts w:ascii="Times New Roman"/>
                <w:color w:val="auto"/>
                <w:sz w:val="21"/>
                <w:highlight w:val="none"/>
              </w:rPr>
            </w:pPr>
            <w:r>
              <w:rPr>
                <w:rFonts w:ascii="Times New Roman"/>
                <w:color w:val="auto"/>
                <w:sz w:val="21"/>
                <w:highlight w:val="none"/>
              </w:rPr>
              <w:t>0.30</w:t>
            </w:r>
          </w:p>
        </w:tc>
      </w:tr>
      <w:tr>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2493" w:type="pct"/>
            <w:vAlign w:val="center"/>
          </w:tcPr>
          <w:p>
            <w:pPr>
              <w:pStyle w:val="68"/>
              <w:adjustRightInd w:val="0"/>
              <w:spacing w:line="240" w:lineRule="auto"/>
              <w:ind w:firstLine="0" w:firstLineChars="0"/>
              <w:rPr>
                <w:rFonts w:ascii="Times New Roman"/>
                <w:color w:val="auto"/>
                <w:sz w:val="21"/>
                <w:highlight w:val="none"/>
              </w:rPr>
            </w:pPr>
            <w:r>
              <w:rPr>
                <w:rFonts w:ascii="Times New Roman"/>
                <w:color w:val="auto"/>
                <w:sz w:val="21"/>
                <w:highlight w:val="none"/>
              </w:rPr>
              <w:t>三</w:t>
            </w:r>
          </w:p>
        </w:tc>
        <w:tc>
          <w:tcPr>
            <w:tcW w:w="2506" w:type="pct"/>
            <w:vAlign w:val="center"/>
          </w:tcPr>
          <w:p>
            <w:pPr>
              <w:pStyle w:val="68"/>
              <w:adjustRightInd w:val="0"/>
              <w:spacing w:line="240" w:lineRule="auto"/>
              <w:ind w:firstLine="0" w:firstLineChars="0"/>
              <w:rPr>
                <w:rFonts w:ascii="Times New Roman"/>
                <w:color w:val="auto"/>
                <w:sz w:val="21"/>
                <w:highlight w:val="none"/>
              </w:rPr>
            </w:pPr>
            <w:r>
              <w:rPr>
                <w:rFonts w:ascii="Times New Roman"/>
                <w:color w:val="auto"/>
                <w:sz w:val="21"/>
                <w:highlight w:val="none"/>
              </w:rPr>
              <w:t>0.25</w:t>
            </w:r>
          </w:p>
        </w:tc>
      </w:tr>
      <w:tr>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5000" w:type="pct"/>
            <w:gridSpan w:val="2"/>
            <w:vAlign w:val="center"/>
          </w:tcPr>
          <w:p>
            <w:pPr>
              <w:pStyle w:val="69"/>
              <w:adjustRightInd w:val="0"/>
              <w:spacing w:line="240" w:lineRule="auto"/>
              <w:ind w:firstLine="0" w:firstLineChars="0"/>
              <w:rPr>
                <w:sz w:val="21"/>
                <w:highlight w:val="none"/>
              </w:rPr>
            </w:pPr>
            <w:r>
              <w:rPr>
                <w:sz w:val="21"/>
                <w:highlight w:val="none"/>
              </w:rPr>
              <w:t>注1：</w:t>
            </w:r>
            <w:r>
              <w:rPr>
                <w:spacing w:val="-4"/>
                <w:sz w:val="21"/>
                <w:highlight w:val="none"/>
              </w:rPr>
              <w:t>表中的规定适用于采用热轧钢筋的钢筋混凝土结构</w:t>
            </w:r>
            <w:r>
              <w:rPr>
                <w:rFonts w:hint="eastAsia"/>
                <w:spacing w:val="-4"/>
                <w:sz w:val="21"/>
                <w:highlight w:val="none"/>
                <w:lang w:val="en-US" w:eastAsia="zh-CN"/>
              </w:rPr>
              <w:t>等</w:t>
            </w:r>
            <w:r>
              <w:rPr>
                <w:spacing w:val="-4"/>
                <w:sz w:val="21"/>
                <w:highlight w:val="none"/>
              </w:rPr>
              <w:t>；当采用其他类别的钢筋时，其裂缝控制要求可按专门标准确定；</w:t>
            </w:r>
          </w:p>
          <w:p>
            <w:pPr>
              <w:pStyle w:val="69"/>
              <w:adjustRightInd w:val="0"/>
              <w:spacing w:line="240" w:lineRule="auto"/>
              <w:ind w:firstLine="0" w:firstLineChars="0"/>
              <w:rPr>
                <w:sz w:val="21"/>
                <w:highlight w:val="none"/>
              </w:rPr>
            </w:pPr>
            <w:r>
              <w:rPr>
                <w:sz w:val="21"/>
                <w:highlight w:val="none"/>
              </w:rPr>
              <w:t>注2：结构构件的</w:t>
            </w:r>
            <w:r>
              <w:rPr>
                <w:spacing w:val="-4"/>
                <w:sz w:val="21"/>
                <w:highlight w:val="none"/>
              </w:rPr>
              <w:t>钢筋</w:t>
            </w:r>
            <w:r>
              <w:rPr>
                <w:sz w:val="21"/>
                <w:highlight w:val="none"/>
              </w:rPr>
              <w:t>混凝土保护层厚度大于50mm时，表列裂缝宽度限值可增加0.05；</w:t>
            </w:r>
          </w:p>
          <w:p>
            <w:pPr>
              <w:pStyle w:val="69"/>
              <w:adjustRightInd w:val="0"/>
              <w:spacing w:line="240" w:lineRule="auto"/>
              <w:ind w:firstLine="0" w:firstLineChars="0"/>
              <w:rPr>
                <w:sz w:val="21"/>
                <w:highlight w:val="none"/>
              </w:rPr>
            </w:pPr>
            <w:r>
              <w:rPr>
                <w:sz w:val="21"/>
                <w:highlight w:val="none"/>
              </w:rPr>
              <w:t xml:space="preserve">注3：当结构构件不具备检修维护条件时，表列最大裂缝宽度限值宜适当减小； </w:t>
            </w:r>
          </w:p>
          <w:p>
            <w:pPr>
              <w:pStyle w:val="69"/>
              <w:adjustRightInd w:val="0"/>
              <w:spacing w:line="240" w:lineRule="auto"/>
              <w:ind w:firstLine="0" w:firstLineChars="0"/>
              <w:rPr>
                <w:sz w:val="21"/>
                <w:highlight w:val="none"/>
              </w:rPr>
            </w:pPr>
            <w:r>
              <w:rPr>
                <w:sz w:val="21"/>
                <w:highlight w:val="none"/>
              </w:rPr>
              <w:t>注</w:t>
            </w:r>
            <w:r>
              <w:rPr>
                <w:rFonts w:hint="eastAsia"/>
                <w:sz w:val="21"/>
                <w:highlight w:val="none"/>
                <w:lang w:val="en-US" w:eastAsia="zh-CN"/>
              </w:rPr>
              <w:t>4</w:t>
            </w:r>
            <w:r>
              <w:rPr>
                <w:sz w:val="21"/>
                <w:highlight w:val="none"/>
              </w:rPr>
              <w:t>：结构构件表面设有专门可靠的防渗面层等防护措施时，最大裂缝宽度限值可适当加大；</w:t>
            </w:r>
          </w:p>
        </w:tc>
      </w:tr>
    </w:tbl>
    <w:p>
      <w:pPr>
        <w:spacing w:line="346" w:lineRule="auto"/>
        <w:ind w:firstLine="480"/>
      </w:pPr>
      <w:r>
        <w:rPr>
          <w:rFonts w:hint="eastAsia" w:ascii="宋体" w:hAnsi="宋体" w:cs="宋体"/>
        </w:rPr>
        <w:t>②</w:t>
      </w:r>
      <w:r>
        <w:t>不同环境类别下配筋混凝土耐久性应满足下表要求。</w:t>
      </w:r>
    </w:p>
    <w:p>
      <w:pPr>
        <w:ind w:firstLine="0" w:firstLineChars="0"/>
        <w:jc w:val="center"/>
        <w:rPr>
          <w:b/>
        </w:rPr>
      </w:pPr>
      <w:r>
        <w:rPr>
          <w:b/>
        </w:rPr>
        <w:t>表</w:t>
      </w:r>
      <w:r>
        <w:rPr>
          <w:rFonts w:hint="eastAsia"/>
          <w:b/>
          <w:lang w:val="en-US" w:eastAsia="zh-CN"/>
        </w:rPr>
        <w:t>5.6-2</w:t>
      </w:r>
      <w:r>
        <w:rPr>
          <w:b/>
        </w:rPr>
        <w:t xml:space="preserve">  配筋砼耐久性基本要求</w:t>
      </w:r>
    </w:p>
    <w:tbl>
      <w:tblPr>
        <w:tblStyle w:val="19"/>
        <w:tblW w:w="4967" w:type="pct"/>
        <w:jc w:val="center"/>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1684"/>
        <w:gridCol w:w="1621"/>
        <w:gridCol w:w="1440"/>
        <w:gridCol w:w="1928"/>
        <w:gridCol w:w="1441"/>
      </w:tblGrid>
      <w:tr>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2" w:type="pct"/>
            <w:tcBorders>
              <w:top w:val="single" w:color="auto" w:sz="4" w:space="0"/>
              <w:left w:val="single" w:color="auto" w:sz="4" w:space="0"/>
            </w:tcBorders>
            <w:shd w:val="clear" w:color="auto" w:fill="auto"/>
            <w:vAlign w:val="center"/>
          </w:tcPr>
          <w:p>
            <w:pPr>
              <w:pStyle w:val="55"/>
            </w:pPr>
            <w:r>
              <w:rPr>
                <w:rFonts w:hint="eastAsia"/>
              </w:rPr>
              <w:t>环境类别</w:t>
            </w:r>
          </w:p>
        </w:tc>
        <w:tc>
          <w:tcPr>
            <w:tcW w:w="904" w:type="pct"/>
            <w:tcBorders>
              <w:top w:val="single" w:color="auto" w:sz="4" w:space="0"/>
            </w:tcBorders>
            <w:shd w:val="clear" w:color="auto" w:fill="auto"/>
            <w:vAlign w:val="center"/>
          </w:tcPr>
          <w:p>
            <w:pPr>
              <w:pStyle w:val="55"/>
            </w:pPr>
            <w:r>
              <w:rPr>
                <w:rFonts w:hint="eastAsia"/>
              </w:rPr>
              <w:t>混凝土最低强度等级</w:t>
            </w:r>
          </w:p>
        </w:tc>
        <w:tc>
          <w:tcPr>
            <w:tcW w:w="870" w:type="pct"/>
            <w:tcBorders>
              <w:top w:val="single" w:color="auto" w:sz="4" w:space="0"/>
            </w:tcBorders>
            <w:shd w:val="clear" w:color="auto" w:fill="auto"/>
            <w:vAlign w:val="center"/>
          </w:tcPr>
          <w:p>
            <w:pPr>
              <w:pStyle w:val="55"/>
            </w:pPr>
            <w:r>
              <w:rPr>
                <w:rFonts w:hint="eastAsia"/>
              </w:rPr>
              <w:t>最小水泥用量</w:t>
            </w:r>
          </w:p>
          <w:p>
            <w:pPr>
              <w:pStyle w:val="55"/>
            </w:pPr>
            <w:r>
              <w:rPr>
                <w:rFonts w:hint="eastAsia"/>
              </w:rPr>
              <w:t>（kg/m</w:t>
            </w:r>
            <w:r>
              <w:rPr>
                <w:rFonts w:hint="eastAsia"/>
                <w:vertAlign w:val="superscript"/>
              </w:rPr>
              <w:t>3</w:t>
            </w:r>
            <w:r>
              <w:rPr>
                <w:rFonts w:hint="eastAsia"/>
              </w:rPr>
              <w:t>）</w:t>
            </w:r>
          </w:p>
        </w:tc>
        <w:tc>
          <w:tcPr>
            <w:tcW w:w="773" w:type="pct"/>
            <w:tcBorders>
              <w:top w:val="single" w:color="auto" w:sz="4" w:space="0"/>
            </w:tcBorders>
            <w:shd w:val="clear" w:color="auto" w:fill="auto"/>
            <w:vAlign w:val="center"/>
          </w:tcPr>
          <w:p>
            <w:pPr>
              <w:pStyle w:val="55"/>
            </w:pPr>
            <w:r>
              <w:rPr>
                <w:rFonts w:hint="eastAsia"/>
              </w:rPr>
              <w:t>最大水胶比</w:t>
            </w:r>
          </w:p>
        </w:tc>
        <w:tc>
          <w:tcPr>
            <w:tcW w:w="1035" w:type="pct"/>
            <w:tcBorders>
              <w:top w:val="single" w:color="auto" w:sz="4" w:space="0"/>
            </w:tcBorders>
            <w:shd w:val="clear" w:color="auto" w:fill="auto"/>
            <w:vAlign w:val="center"/>
          </w:tcPr>
          <w:p>
            <w:pPr>
              <w:pStyle w:val="55"/>
            </w:pPr>
            <w:r>
              <w:rPr>
                <w:rFonts w:hint="eastAsia"/>
              </w:rPr>
              <w:t>最大氯离子含量</w:t>
            </w:r>
          </w:p>
          <w:p>
            <w:pPr>
              <w:pStyle w:val="55"/>
            </w:pPr>
            <w:r>
              <w:rPr>
                <w:rFonts w:hint="eastAsia"/>
              </w:rPr>
              <w:t>（%）</w:t>
            </w:r>
          </w:p>
        </w:tc>
        <w:tc>
          <w:tcPr>
            <w:tcW w:w="773" w:type="pct"/>
            <w:tcBorders>
              <w:top w:val="single" w:color="auto" w:sz="4" w:space="0"/>
              <w:right w:val="single" w:color="auto" w:sz="4" w:space="0"/>
            </w:tcBorders>
            <w:shd w:val="clear" w:color="auto" w:fill="auto"/>
            <w:vAlign w:val="center"/>
          </w:tcPr>
          <w:p>
            <w:pPr>
              <w:pStyle w:val="55"/>
            </w:pPr>
            <w:r>
              <w:rPr>
                <w:rFonts w:hint="eastAsia"/>
              </w:rPr>
              <w:t>最大碱含量</w:t>
            </w:r>
          </w:p>
          <w:p>
            <w:pPr>
              <w:pStyle w:val="55"/>
            </w:pPr>
            <w:r>
              <w:rPr>
                <w:rFonts w:hint="eastAsia"/>
              </w:rPr>
              <w:t>（kg/m</w:t>
            </w:r>
            <w:r>
              <w:rPr>
                <w:rFonts w:hint="eastAsia"/>
                <w:vertAlign w:val="superscript"/>
              </w:rPr>
              <w:t>3</w:t>
            </w:r>
            <w:r>
              <w:rPr>
                <w:rFonts w:hint="eastAsia"/>
              </w:rPr>
              <w:t>）</w:t>
            </w:r>
          </w:p>
        </w:tc>
      </w:tr>
      <w:tr>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2" w:type="pct"/>
            <w:tcBorders>
              <w:left w:val="single" w:color="auto" w:sz="4" w:space="0"/>
            </w:tcBorders>
            <w:shd w:val="clear" w:color="auto" w:fill="auto"/>
            <w:vAlign w:val="center"/>
          </w:tcPr>
          <w:p>
            <w:pPr>
              <w:pStyle w:val="55"/>
            </w:pPr>
            <w:r>
              <w:rPr>
                <w:rFonts w:hint="eastAsia"/>
              </w:rPr>
              <w:t>二</w:t>
            </w:r>
          </w:p>
        </w:tc>
        <w:tc>
          <w:tcPr>
            <w:tcW w:w="904" w:type="pct"/>
            <w:shd w:val="clear" w:color="auto" w:fill="auto"/>
            <w:vAlign w:val="center"/>
          </w:tcPr>
          <w:p>
            <w:pPr>
              <w:pStyle w:val="55"/>
            </w:pPr>
            <w:r>
              <w:rPr>
                <w:rFonts w:hint="eastAsia"/>
              </w:rPr>
              <w:t>C25</w:t>
            </w:r>
          </w:p>
        </w:tc>
        <w:tc>
          <w:tcPr>
            <w:tcW w:w="870" w:type="pct"/>
            <w:shd w:val="clear" w:color="auto" w:fill="auto"/>
            <w:vAlign w:val="center"/>
          </w:tcPr>
          <w:p>
            <w:pPr>
              <w:pStyle w:val="55"/>
            </w:pPr>
            <w:r>
              <w:rPr>
                <w:rFonts w:hint="eastAsia"/>
              </w:rPr>
              <w:t>260</w:t>
            </w:r>
          </w:p>
        </w:tc>
        <w:tc>
          <w:tcPr>
            <w:tcW w:w="773" w:type="pct"/>
            <w:shd w:val="clear" w:color="auto" w:fill="auto"/>
            <w:vAlign w:val="center"/>
          </w:tcPr>
          <w:p>
            <w:pPr>
              <w:pStyle w:val="55"/>
            </w:pPr>
            <w:r>
              <w:rPr>
                <w:rFonts w:hint="eastAsia"/>
              </w:rPr>
              <w:t>0.55</w:t>
            </w:r>
          </w:p>
        </w:tc>
        <w:tc>
          <w:tcPr>
            <w:tcW w:w="1035" w:type="pct"/>
            <w:shd w:val="clear" w:color="auto" w:fill="auto"/>
            <w:vAlign w:val="center"/>
          </w:tcPr>
          <w:p>
            <w:pPr>
              <w:pStyle w:val="55"/>
            </w:pPr>
            <w:r>
              <w:rPr>
                <w:rFonts w:hint="eastAsia"/>
              </w:rPr>
              <w:t>0.3</w:t>
            </w:r>
          </w:p>
        </w:tc>
        <w:tc>
          <w:tcPr>
            <w:tcW w:w="773" w:type="pct"/>
            <w:tcBorders>
              <w:right w:val="single" w:color="auto" w:sz="4" w:space="0"/>
            </w:tcBorders>
            <w:shd w:val="clear" w:color="auto" w:fill="auto"/>
            <w:vAlign w:val="center"/>
          </w:tcPr>
          <w:p>
            <w:pPr>
              <w:pStyle w:val="55"/>
            </w:pPr>
            <w:r>
              <w:rPr>
                <w:rFonts w:hint="eastAsia"/>
              </w:rPr>
              <w:t>3.0</w:t>
            </w:r>
          </w:p>
        </w:tc>
      </w:tr>
      <w:tr>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PrEx>
        <w:trPr>
          <w:trHeight w:val="340" w:hRule="atLeast"/>
          <w:jc w:val="center"/>
        </w:trPr>
        <w:tc>
          <w:tcPr>
            <w:tcW w:w="642" w:type="pct"/>
            <w:tcBorders>
              <w:left w:val="single" w:color="auto" w:sz="4" w:space="0"/>
            </w:tcBorders>
            <w:shd w:val="clear" w:color="auto" w:fill="auto"/>
            <w:vAlign w:val="center"/>
          </w:tcPr>
          <w:p>
            <w:pPr>
              <w:pStyle w:val="55"/>
            </w:pPr>
            <w:r>
              <w:t>三</w:t>
            </w:r>
          </w:p>
        </w:tc>
        <w:tc>
          <w:tcPr>
            <w:tcW w:w="904" w:type="pct"/>
            <w:shd w:val="clear" w:color="auto" w:fill="auto"/>
            <w:vAlign w:val="center"/>
          </w:tcPr>
          <w:p>
            <w:pPr>
              <w:pStyle w:val="55"/>
            </w:pPr>
            <w:r>
              <w:rPr>
                <w:rFonts w:hint="eastAsia"/>
              </w:rPr>
              <w:t>C25</w:t>
            </w:r>
          </w:p>
        </w:tc>
        <w:tc>
          <w:tcPr>
            <w:tcW w:w="870" w:type="pct"/>
            <w:shd w:val="clear" w:color="auto" w:fill="auto"/>
            <w:vAlign w:val="center"/>
          </w:tcPr>
          <w:p>
            <w:pPr>
              <w:pStyle w:val="55"/>
            </w:pPr>
            <w:r>
              <w:rPr>
                <w:rFonts w:hint="eastAsia"/>
              </w:rPr>
              <w:t>300</w:t>
            </w:r>
          </w:p>
        </w:tc>
        <w:tc>
          <w:tcPr>
            <w:tcW w:w="773" w:type="pct"/>
            <w:shd w:val="clear" w:color="auto" w:fill="auto"/>
            <w:vAlign w:val="center"/>
          </w:tcPr>
          <w:p>
            <w:pPr>
              <w:pStyle w:val="55"/>
            </w:pPr>
            <w:r>
              <w:rPr>
                <w:rFonts w:hint="eastAsia"/>
              </w:rPr>
              <w:t>0.50</w:t>
            </w:r>
          </w:p>
        </w:tc>
        <w:tc>
          <w:tcPr>
            <w:tcW w:w="1035" w:type="pct"/>
            <w:shd w:val="clear" w:color="auto" w:fill="auto"/>
            <w:vAlign w:val="center"/>
          </w:tcPr>
          <w:p>
            <w:pPr>
              <w:pStyle w:val="55"/>
            </w:pPr>
            <w:r>
              <w:rPr>
                <w:rFonts w:hint="eastAsia"/>
              </w:rPr>
              <w:t>0.2</w:t>
            </w:r>
          </w:p>
        </w:tc>
        <w:tc>
          <w:tcPr>
            <w:tcW w:w="773" w:type="pct"/>
            <w:tcBorders>
              <w:right w:val="single" w:color="auto" w:sz="4" w:space="0"/>
            </w:tcBorders>
            <w:shd w:val="clear" w:color="auto" w:fill="auto"/>
            <w:vAlign w:val="center"/>
          </w:tcPr>
          <w:p>
            <w:pPr>
              <w:pStyle w:val="55"/>
            </w:pPr>
            <w:r>
              <w:rPr>
                <w:rFonts w:hint="eastAsia"/>
              </w:rPr>
              <w:t>3.0</w:t>
            </w:r>
          </w:p>
        </w:tc>
      </w:tr>
    </w:tbl>
    <w:p>
      <w:pPr>
        <w:spacing w:line="336" w:lineRule="auto"/>
        <w:ind w:firstLine="480"/>
      </w:pPr>
      <w:r>
        <w:t>（2）混凝土原材料要求</w:t>
      </w:r>
    </w:p>
    <w:p>
      <w:pPr>
        <w:spacing w:line="336" w:lineRule="auto"/>
        <w:ind w:firstLine="480"/>
      </w:pPr>
      <w:r>
        <w:rPr>
          <w:rFonts w:hint="eastAsia" w:ascii="宋体" w:hAnsi="宋体" w:cs="宋体"/>
        </w:rPr>
        <w:t>①</w:t>
      </w:r>
      <w:r>
        <w:t>水泥</w:t>
      </w:r>
    </w:p>
    <w:p>
      <w:pPr>
        <w:spacing w:line="336" w:lineRule="auto"/>
        <w:ind w:firstLine="480"/>
      </w:pPr>
      <w:r>
        <w:t>采用普通硅酸盐水泥（强度等级不低于42.5级），技术指标执行《通用硅酸水泥》（GB175 -2007）。</w:t>
      </w:r>
    </w:p>
    <w:p>
      <w:pPr>
        <w:spacing w:line="336" w:lineRule="auto"/>
        <w:ind w:firstLine="480"/>
      </w:pPr>
      <w:r>
        <w:rPr>
          <w:rFonts w:hint="eastAsia" w:ascii="宋体" w:hAnsi="宋体" w:cs="宋体"/>
        </w:rPr>
        <w:t>②</w:t>
      </w:r>
      <w:r>
        <w:t>骨料、掺合料、外加剂和水</w:t>
      </w:r>
    </w:p>
    <w:p>
      <w:pPr>
        <w:spacing w:line="336" w:lineRule="auto"/>
        <w:ind w:firstLine="480"/>
      </w:pPr>
      <w:r>
        <w:t>骨料、掺合料、外加剂和水的使用应满足《水工混凝土施工规范》（SL677-2014）相关要求。</w:t>
      </w:r>
    </w:p>
    <w:p>
      <w:pPr>
        <w:spacing w:line="336" w:lineRule="auto"/>
        <w:ind w:firstLine="480"/>
      </w:pPr>
      <w:r>
        <w:t>（3）钢筋混凝土结构耐久性设计指标应满足下表要求。</w:t>
      </w:r>
    </w:p>
    <w:p>
      <w:pPr>
        <w:ind w:firstLine="0" w:firstLineChars="0"/>
        <w:jc w:val="center"/>
        <w:rPr>
          <w:b/>
        </w:rPr>
      </w:pPr>
      <w:r>
        <w:rPr>
          <w:b/>
        </w:rPr>
        <w:t>表</w:t>
      </w:r>
      <w:r>
        <w:rPr>
          <w:rFonts w:hint="eastAsia"/>
          <w:b/>
          <w:lang w:val="en-US" w:eastAsia="zh-CN"/>
        </w:rPr>
        <w:t>5.6-3</w:t>
      </w:r>
      <w:r>
        <w:rPr>
          <w:b/>
        </w:rPr>
        <w:t xml:space="preserve"> 钢筋混凝土结构耐久性设计指标</w:t>
      </w:r>
    </w:p>
    <w:tbl>
      <w:tblPr>
        <w:tblStyle w:val="19"/>
        <w:tblW w:w="9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354"/>
        <w:gridCol w:w="1134"/>
        <w:gridCol w:w="709"/>
        <w:gridCol w:w="709"/>
        <w:gridCol w:w="709"/>
        <w:gridCol w:w="1417"/>
        <w:gridCol w:w="1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73"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序号</w:t>
            </w:r>
          </w:p>
        </w:tc>
        <w:tc>
          <w:tcPr>
            <w:tcW w:w="235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工程部位</w:t>
            </w:r>
          </w:p>
        </w:tc>
        <w:tc>
          <w:tcPr>
            <w:tcW w:w="113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环境</w:t>
            </w:r>
          </w:p>
          <w:p>
            <w:pPr>
              <w:keepLines/>
              <w:widowControl/>
              <w:adjustRightInd w:val="0"/>
              <w:snapToGrid w:val="0"/>
              <w:spacing w:line="240" w:lineRule="auto"/>
              <w:ind w:firstLine="0" w:firstLineChars="0"/>
              <w:jc w:val="center"/>
              <w:rPr>
                <w:bCs/>
                <w:kern w:val="24"/>
                <w:sz w:val="21"/>
                <w:szCs w:val="18"/>
              </w:rPr>
            </w:pPr>
            <w:r>
              <w:rPr>
                <w:bCs/>
                <w:kern w:val="24"/>
                <w:sz w:val="21"/>
                <w:szCs w:val="18"/>
              </w:rPr>
              <w:t>类别</w:t>
            </w:r>
          </w:p>
        </w:tc>
        <w:tc>
          <w:tcPr>
            <w:tcW w:w="709"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强度等级</w:t>
            </w:r>
          </w:p>
        </w:tc>
        <w:tc>
          <w:tcPr>
            <w:tcW w:w="709"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抗渗等级</w:t>
            </w:r>
          </w:p>
        </w:tc>
        <w:tc>
          <w:tcPr>
            <w:tcW w:w="709" w:type="dxa"/>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抗冻等级</w:t>
            </w:r>
          </w:p>
        </w:tc>
        <w:tc>
          <w:tcPr>
            <w:tcW w:w="1417"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钢筋保护层</w:t>
            </w:r>
          </w:p>
          <w:p>
            <w:pPr>
              <w:keepLines/>
              <w:widowControl/>
              <w:adjustRightInd w:val="0"/>
              <w:snapToGrid w:val="0"/>
              <w:spacing w:line="240" w:lineRule="auto"/>
              <w:ind w:firstLine="0" w:firstLineChars="0"/>
              <w:jc w:val="center"/>
              <w:rPr>
                <w:bCs/>
                <w:kern w:val="24"/>
                <w:sz w:val="21"/>
                <w:szCs w:val="18"/>
              </w:rPr>
            </w:pPr>
            <w:r>
              <w:rPr>
                <w:bCs/>
                <w:kern w:val="24"/>
                <w:sz w:val="21"/>
                <w:szCs w:val="18"/>
              </w:rPr>
              <w:t>厚度(mm)</w:t>
            </w:r>
          </w:p>
        </w:tc>
        <w:tc>
          <w:tcPr>
            <w:tcW w:w="1205"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3"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rFonts w:hint="eastAsia"/>
                <w:bCs/>
                <w:kern w:val="24"/>
                <w:sz w:val="21"/>
                <w:szCs w:val="18"/>
              </w:rPr>
              <w:t>1</w:t>
            </w:r>
          </w:p>
        </w:tc>
        <w:tc>
          <w:tcPr>
            <w:tcW w:w="235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底板</w:t>
            </w:r>
          </w:p>
        </w:tc>
        <w:tc>
          <w:tcPr>
            <w:tcW w:w="113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二类</w:t>
            </w:r>
          </w:p>
        </w:tc>
        <w:tc>
          <w:tcPr>
            <w:tcW w:w="709" w:type="dxa"/>
            <w:shd w:val="clear" w:color="auto" w:fill="auto"/>
            <w:vAlign w:val="center"/>
          </w:tcPr>
          <w:p>
            <w:pPr>
              <w:keepLines/>
              <w:widowControl/>
              <w:adjustRightInd w:val="0"/>
              <w:snapToGrid w:val="0"/>
              <w:spacing w:line="240" w:lineRule="auto"/>
              <w:ind w:firstLine="0" w:firstLineChars="0"/>
              <w:jc w:val="center"/>
              <w:rPr>
                <w:rFonts w:hint="default" w:eastAsia="宋体"/>
                <w:bCs/>
                <w:kern w:val="24"/>
                <w:sz w:val="21"/>
                <w:szCs w:val="18"/>
                <w:lang w:val="en-US" w:eastAsia="zh-CN"/>
              </w:rPr>
            </w:pPr>
            <w:r>
              <w:rPr>
                <w:bCs/>
                <w:kern w:val="24"/>
                <w:sz w:val="21"/>
                <w:szCs w:val="18"/>
              </w:rPr>
              <w:t>C</w:t>
            </w:r>
            <w:r>
              <w:rPr>
                <w:rFonts w:hint="eastAsia"/>
                <w:bCs/>
                <w:kern w:val="24"/>
                <w:sz w:val="21"/>
                <w:szCs w:val="18"/>
                <w:lang w:val="en-US" w:eastAsia="zh-CN"/>
              </w:rPr>
              <w:t>25</w:t>
            </w:r>
          </w:p>
        </w:tc>
        <w:tc>
          <w:tcPr>
            <w:tcW w:w="709"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W4</w:t>
            </w:r>
          </w:p>
        </w:tc>
        <w:tc>
          <w:tcPr>
            <w:tcW w:w="709" w:type="dxa"/>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F50</w:t>
            </w:r>
          </w:p>
        </w:tc>
        <w:tc>
          <w:tcPr>
            <w:tcW w:w="1417"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45</w:t>
            </w:r>
          </w:p>
        </w:tc>
        <w:tc>
          <w:tcPr>
            <w:tcW w:w="1205"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现浇砼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3"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rFonts w:hint="eastAsia"/>
                <w:bCs/>
                <w:kern w:val="24"/>
                <w:sz w:val="21"/>
                <w:szCs w:val="18"/>
              </w:rPr>
              <w:t>2</w:t>
            </w:r>
          </w:p>
        </w:tc>
        <w:tc>
          <w:tcPr>
            <w:tcW w:w="235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墩墙</w:t>
            </w:r>
          </w:p>
        </w:tc>
        <w:tc>
          <w:tcPr>
            <w:tcW w:w="113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三类</w:t>
            </w:r>
          </w:p>
        </w:tc>
        <w:tc>
          <w:tcPr>
            <w:tcW w:w="709" w:type="dxa"/>
            <w:shd w:val="clear" w:color="auto" w:fill="auto"/>
            <w:vAlign w:val="center"/>
          </w:tcPr>
          <w:p>
            <w:pPr>
              <w:keepLines/>
              <w:widowControl/>
              <w:adjustRightInd w:val="0"/>
              <w:snapToGrid w:val="0"/>
              <w:spacing w:line="240" w:lineRule="auto"/>
              <w:ind w:firstLine="0" w:firstLineChars="0"/>
              <w:jc w:val="center"/>
              <w:rPr>
                <w:rFonts w:hint="default" w:eastAsia="宋体"/>
                <w:bCs/>
                <w:kern w:val="24"/>
                <w:sz w:val="21"/>
                <w:szCs w:val="18"/>
                <w:lang w:val="en-US" w:eastAsia="zh-CN"/>
              </w:rPr>
            </w:pPr>
            <w:r>
              <w:rPr>
                <w:bCs/>
                <w:kern w:val="24"/>
                <w:sz w:val="21"/>
                <w:szCs w:val="18"/>
              </w:rPr>
              <w:t>C</w:t>
            </w:r>
            <w:r>
              <w:rPr>
                <w:rFonts w:hint="eastAsia"/>
                <w:bCs/>
                <w:kern w:val="24"/>
                <w:sz w:val="21"/>
                <w:szCs w:val="18"/>
                <w:lang w:val="en-US" w:eastAsia="zh-CN"/>
              </w:rPr>
              <w:t>25</w:t>
            </w:r>
          </w:p>
        </w:tc>
        <w:tc>
          <w:tcPr>
            <w:tcW w:w="709"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W4</w:t>
            </w:r>
          </w:p>
        </w:tc>
        <w:tc>
          <w:tcPr>
            <w:tcW w:w="709" w:type="dxa"/>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F50</w:t>
            </w:r>
          </w:p>
        </w:tc>
        <w:tc>
          <w:tcPr>
            <w:tcW w:w="1417"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45</w:t>
            </w:r>
          </w:p>
        </w:tc>
        <w:tc>
          <w:tcPr>
            <w:tcW w:w="1205"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现浇砼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3"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rFonts w:hint="eastAsia"/>
                <w:bCs/>
                <w:kern w:val="24"/>
                <w:sz w:val="21"/>
                <w:szCs w:val="18"/>
              </w:rPr>
              <w:t>4</w:t>
            </w:r>
          </w:p>
        </w:tc>
        <w:tc>
          <w:tcPr>
            <w:tcW w:w="235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上游铺盖、</w:t>
            </w:r>
          </w:p>
          <w:p>
            <w:pPr>
              <w:keepLines/>
              <w:widowControl/>
              <w:adjustRightInd w:val="0"/>
              <w:snapToGrid w:val="0"/>
              <w:spacing w:line="240" w:lineRule="auto"/>
              <w:ind w:firstLine="0" w:firstLineChars="0"/>
              <w:jc w:val="center"/>
              <w:rPr>
                <w:bCs/>
                <w:kern w:val="24"/>
                <w:sz w:val="21"/>
                <w:szCs w:val="18"/>
              </w:rPr>
            </w:pPr>
            <w:r>
              <w:rPr>
                <w:bCs/>
                <w:kern w:val="24"/>
                <w:sz w:val="21"/>
                <w:szCs w:val="18"/>
              </w:rPr>
              <w:t>下游消力池</w:t>
            </w:r>
          </w:p>
        </w:tc>
        <w:tc>
          <w:tcPr>
            <w:tcW w:w="113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三类</w:t>
            </w:r>
          </w:p>
        </w:tc>
        <w:tc>
          <w:tcPr>
            <w:tcW w:w="709" w:type="dxa"/>
            <w:shd w:val="clear" w:color="auto" w:fill="auto"/>
            <w:vAlign w:val="center"/>
          </w:tcPr>
          <w:p>
            <w:pPr>
              <w:keepLines/>
              <w:widowControl/>
              <w:adjustRightInd w:val="0"/>
              <w:snapToGrid w:val="0"/>
              <w:spacing w:line="240" w:lineRule="auto"/>
              <w:ind w:firstLine="0" w:firstLineChars="0"/>
              <w:jc w:val="center"/>
              <w:rPr>
                <w:rFonts w:hint="default" w:eastAsia="宋体"/>
                <w:bCs/>
                <w:kern w:val="24"/>
                <w:sz w:val="21"/>
                <w:szCs w:val="18"/>
                <w:lang w:val="en-US" w:eastAsia="zh-CN"/>
              </w:rPr>
            </w:pPr>
            <w:r>
              <w:rPr>
                <w:bCs/>
                <w:kern w:val="24"/>
                <w:sz w:val="21"/>
                <w:szCs w:val="18"/>
              </w:rPr>
              <w:t>C</w:t>
            </w:r>
            <w:r>
              <w:rPr>
                <w:rFonts w:hint="eastAsia"/>
                <w:bCs/>
                <w:kern w:val="24"/>
                <w:sz w:val="21"/>
                <w:szCs w:val="18"/>
                <w:lang w:val="en-US" w:eastAsia="zh-CN"/>
              </w:rPr>
              <w:t>25</w:t>
            </w:r>
          </w:p>
        </w:tc>
        <w:tc>
          <w:tcPr>
            <w:tcW w:w="709"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W4</w:t>
            </w:r>
          </w:p>
        </w:tc>
        <w:tc>
          <w:tcPr>
            <w:tcW w:w="709" w:type="dxa"/>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F50</w:t>
            </w:r>
          </w:p>
        </w:tc>
        <w:tc>
          <w:tcPr>
            <w:tcW w:w="1417"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45</w:t>
            </w:r>
          </w:p>
        </w:tc>
        <w:tc>
          <w:tcPr>
            <w:tcW w:w="1205"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现浇砼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3"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rFonts w:hint="eastAsia"/>
                <w:bCs/>
                <w:kern w:val="24"/>
                <w:sz w:val="21"/>
                <w:szCs w:val="18"/>
              </w:rPr>
              <w:t>5</w:t>
            </w:r>
          </w:p>
        </w:tc>
        <w:tc>
          <w:tcPr>
            <w:tcW w:w="235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rFonts w:hint="eastAsia"/>
                <w:bCs/>
                <w:kern w:val="24"/>
                <w:sz w:val="21"/>
                <w:szCs w:val="18"/>
                <w:lang w:val="en-US" w:eastAsia="zh-CN"/>
              </w:rPr>
              <w:t>挡土墙</w:t>
            </w:r>
            <w:r>
              <w:rPr>
                <w:bCs/>
                <w:kern w:val="24"/>
                <w:sz w:val="21"/>
                <w:szCs w:val="18"/>
              </w:rPr>
              <w:t>底板</w:t>
            </w:r>
          </w:p>
        </w:tc>
        <w:tc>
          <w:tcPr>
            <w:tcW w:w="113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二类</w:t>
            </w:r>
          </w:p>
        </w:tc>
        <w:tc>
          <w:tcPr>
            <w:tcW w:w="709"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C</w:t>
            </w:r>
            <w:r>
              <w:rPr>
                <w:rFonts w:hint="eastAsia"/>
                <w:bCs/>
                <w:kern w:val="24"/>
                <w:sz w:val="21"/>
                <w:szCs w:val="18"/>
                <w:lang w:val="en-US" w:eastAsia="zh-CN"/>
              </w:rPr>
              <w:t>25</w:t>
            </w:r>
            <w:r>
              <w:rPr>
                <w:bCs/>
                <w:kern w:val="24"/>
                <w:sz w:val="21"/>
                <w:szCs w:val="18"/>
              </w:rPr>
              <w:t xml:space="preserve"> </w:t>
            </w:r>
          </w:p>
        </w:tc>
        <w:tc>
          <w:tcPr>
            <w:tcW w:w="709"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W4</w:t>
            </w:r>
          </w:p>
        </w:tc>
        <w:tc>
          <w:tcPr>
            <w:tcW w:w="709" w:type="dxa"/>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F50</w:t>
            </w:r>
          </w:p>
        </w:tc>
        <w:tc>
          <w:tcPr>
            <w:tcW w:w="1417"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45</w:t>
            </w:r>
          </w:p>
        </w:tc>
        <w:tc>
          <w:tcPr>
            <w:tcW w:w="1205"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现浇砼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3"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rFonts w:hint="eastAsia"/>
                <w:bCs/>
                <w:kern w:val="24"/>
                <w:sz w:val="21"/>
                <w:szCs w:val="18"/>
              </w:rPr>
              <w:t>6</w:t>
            </w:r>
          </w:p>
        </w:tc>
        <w:tc>
          <w:tcPr>
            <w:tcW w:w="235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rFonts w:hint="eastAsia"/>
                <w:bCs/>
                <w:kern w:val="24"/>
                <w:sz w:val="21"/>
                <w:szCs w:val="18"/>
                <w:lang w:val="en-US" w:eastAsia="zh-CN"/>
              </w:rPr>
              <w:t>挡土墙</w:t>
            </w:r>
            <w:r>
              <w:rPr>
                <w:bCs/>
                <w:kern w:val="24"/>
                <w:sz w:val="21"/>
                <w:szCs w:val="18"/>
              </w:rPr>
              <w:t>墙身</w:t>
            </w:r>
          </w:p>
        </w:tc>
        <w:tc>
          <w:tcPr>
            <w:tcW w:w="1134"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三类</w:t>
            </w:r>
          </w:p>
        </w:tc>
        <w:tc>
          <w:tcPr>
            <w:tcW w:w="709"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C</w:t>
            </w:r>
            <w:r>
              <w:rPr>
                <w:rFonts w:hint="eastAsia"/>
                <w:bCs/>
                <w:kern w:val="24"/>
                <w:sz w:val="21"/>
                <w:szCs w:val="18"/>
                <w:lang w:val="en-US" w:eastAsia="zh-CN"/>
              </w:rPr>
              <w:t>25</w:t>
            </w:r>
            <w:r>
              <w:rPr>
                <w:bCs/>
                <w:kern w:val="24"/>
                <w:sz w:val="21"/>
                <w:szCs w:val="18"/>
              </w:rPr>
              <w:t xml:space="preserve"> </w:t>
            </w:r>
          </w:p>
        </w:tc>
        <w:tc>
          <w:tcPr>
            <w:tcW w:w="709"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W4</w:t>
            </w:r>
          </w:p>
        </w:tc>
        <w:tc>
          <w:tcPr>
            <w:tcW w:w="709" w:type="dxa"/>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F50</w:t>
            </w:r>
          </w:p>
        </w:tc>
        <w:tc>
          <w:tcPr>
            <w:tcW w:w="1417"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45</w:t>
            </w:r>
          </w:p>
        </w:tc>
        <w:tc>
          <w:tcPr>
            <w:tcW w:w="1205" w:type="dxa"/>
            <w:shd w:val="clear" w:color="auto" w:fill="auto"/>
            <w:vAlign w:val="center"/>
          </w:tcPr>
          <w:p>
            <w:pPr>
              <w:keepLines/>
              <w:widowControl/>
              <w:adjustRightInd w:val="0"/>
              <w:snapToGrid w:val="0"/>
              <w:spacing w:line="240" w:lineRule="auto"/>
              <w:ind w:firstLine="0" w:firstLineChars="0"/>
              <w:jc w:val="center"/>
              <w:rPr>
                <w:bCs/>
                <w:kern w:val="24"/>
                <w:sz w:val="21"/>
                <w:szCs w:val="18"/>
              </w:rPr>
            </w:pPr>
            <w:r>
              <w:rPr>
                <w:bCs/>
                <w:kern w:val="24"/>
                <w:sz w:val="21"/>
                <w:szCs w:val="18"/>
              </w:rPr>
              <w:t>现浇砼</w:t>
            </w:r>
          </w:p>
        </w:tc>
      </w:tr>
    </w:tbl>
    <w:p>
      <w:pPr>
        <w:spacing w:line="336" w:lineRule="auto"/>
        <w:ind w:firstLine="480"/>
      </w:pPr>
      <w:r>
        <w:t>2、钢筋</w:t>
      </w:r>
    </w:p>
    <w:p>
      <w:pPr>
        <w:spacing w:line="336" w:lineRule="auto"/>
        <w:ind w:firstLine="480"/>
      </w:pPr>
      <w:r>
        <w:t>非预应力水工结构主要采用HRB400普通热轧变形钢筋，符号</w:t>
      </w:r>
      <w:r>
        <w:drawing>
          <wp:inline distT="0" distB="0" distL="0" distR="0">
            <wp:extent cx="106045" cy="135890"/>
            <wp:effectExtent l="0" t="0" r="8255"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cstate="print"/>
                    <a:srcRect/>
                    <a:stretch>
                      <a:fillRect/>
                    </a:stretch>
                  </pic:blipFill>
                  <pic:spPr>
                    <a:xfrm>
                      <a:off x="0" y="0"/>
                      <a:ext cx="106045" cy="135890"/>
                    </a:xfrm>
                    <a:prstGeom prst="rect">
                      <a:avLst/>
                    </a:prstGeom>
                    <a:noFill/>
                    <a:ln w="9525">
                      <a:noFill/>
                      <a:miter lim="800000"/>
                      <a:headEnd/>
                      <a:tailEnd/>
                    </a:ln>
                  </pic:spPr>
                </pic:pic>
              </a:graphicData>
            </a:graphic>
          </wp:inline>
        </w:drawing>
      </w:r>
      <w:r>
        <w:t>，弹性模量Es=2.0×10</w:t>
      </w:r>
      <w:r>
        <w:rPr>
          <w:vertAlign w:val="superscript"/>
        </w:rPr>
        <w:t>5</w:t>
      </w:r>
      <w:r>
        <w:t>N/mm</w:t>
      </w:r>
      <w:r>
        <w:rPr>
          <w:vertAlign w:val="superscript"/>
        </w:rPr>
        <w:t>2</w:t>
      </w:r>
      <w:r>
        <w:t>，强度设计值fy=f'y=360N/mm</w:t>
      </w:r>
      <w:r>
        <w:rPr>
          <w:vertAlign w:val="superscript"/>
        </w:rPr>
        <w:t>2</w:t>
      </w:r>
      <w:r>
        <w:t>；少量采用HPB 300光圆钢筋（符号Φ，Es=2.1×10</w:t>
      </w:r>
      <w:r>
        <w:rPr>
          <w:vertAlign w:val="superscript"/>
        </w:rPr>
        <w:t>5</w:t>
      </w:r>
      <w:r>
        <w:t>N/mm</w:t>
      </w:r>
      <w:r>
        <w:rPr>
          <w:vertAlign w:val="superscript"/>
        </w:rPr>
        <w:t>2</w:t>
      </w:r>
      <w:r>
        <w:t>，fy=f'y=270 N/mm</w:t>
      </w:r>
      <w:r>
        <w:rPr>
          <w:vertAlign w:val="superscript"/>
        </w:rPr>
        <w:t>2</w:t>
      </w:r>
      <w:r>
        <w:t>）。以上钢筋性能指标应符合《钢筋混凝土用钢第一部分热轧光圆钢筋》（GB1499.1-2008）、《钢筋混凝土用钢第二部分热轧带肋钢筋》（GB1499.2-2007）等现行相关标准、规范的规定。</w:t>
      </w:r>
    </w:p>
    <w:p>
      <w:pPr>
        <w:ind w:firstLine="480"/>
      </w:pPr>
      <w:r>
        <w:t>3、紫铜片止水施工</w:t>
      </w:r>
    </w:p>
    <w:p>
      <w:pPr>
        <w:ind w:firstLine="480"/>
      </w:pPr>
      <w:r>
        <w:t>紫铜片焊接前，必须清除表面油渍、浮皮和污垢，制作时宜压模压制成型，接缝必须焊接牢固。焊接前宜采用紫铜铆钉铆定，焊接后应做渗水试验。沉降槽应用30甲沥青灌填密实。除紫铜片制作安装外，紫铜片部位的砼施工时，还应注意以下事宜：</w:t>
      </w:r>
    </w:p>
    <w:p>
      <w:pPr>
        <w:ind w:firstLine="480"/>
      </w:pPr>
      <w:r>
        <w:t>（1）水平止水处不得设置施工缝；</w:t>
      </w:r>
    </w:p>
    <w:p>
      <w:pPr>
        <w:ind w:firstLine="480"/>
      </w:pPr>
      <w:r>
        <w:t>（2）浇筑砼时，不得冲撞止水铜片，同时振捣器不得触及止水片。</w:t>
      </w:r>
    </w:p>
    <w:p>
      <w:pPr>
        <w:ind w:firstLine="480"/>
      </w:pPr>
      <w:r>
        <w:t>紫铜片牌号为T2 H01</w:t>
      </w:r>
      <w:r>
        <w:rPr>
          <w:rFonts w:hint="eastAsia"/>
        </w:rPr>
        <w:t>—1.</w:t>
      </w:r>
      <w:r>
        <w:t>2</w:t>
      </w:r>
      <w:r>
        <w:rPr>
          <w:rFonts w:hint="eastAsia"/>
        </w:rPr>
        <w:t>×</w:t>
      </w:r>
      <w:r>
        <w:t>160，物理力学指标如下表：</w:t>
      </w:r>
    </w:p>
    <w:p>
      <w:pPr>
        <w:ind w:firstLine="0" w:firstLineChars="0"/>
        <w:jc w:val="center"/>
        <w:rPr>
          <w:b/>
        </w:rPr>
      </w:pPr>
      <w:r>
        <w:rPr>
          <w:b/>
        </w:rPr>
        <w:t>表</w:t>
      </w:r>
      <w:r>
        <w:rPr>
          <w:rFonts w:hint="eastAsia"/>
          <w:b/>
          <w:lang w:val="en-US" w:eastAsia="zh-CN"/>
        </w:rPr>
        <w:t>5.6-4</w:t>
      </w:r>
      <w:r>
        <w:rPr>
          <w:rFonts w:hint="eastAsia"/>
          <w:b/>
        </w:rPr>
        <w:t xml:space="preserve"> </w:t>
      </w:r>
      <w:r>
        <w:rPr>
          <w:b/>
        </w:rPr>
        <w:t>紫铜片物理力学指标要求</w:t>
      </w:r>
    </w:p>
    <w:tbl>
      <w:tblPr>
        <w:tblStyle w:val="19"/>
        <w:tblW w:w="9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1364"/>
        <w:gridCol w:w="5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2381" w:type="dxa"/>
            <w:shd w:val="clear" w:color="auto" w:fill="auto"/>
            <w:vAlign w:val="center"/>
          </w:tcPr>
          <w:p>
            <w:pPr>
              <w:adjustRightInd w:val="0"/>
              <w:snapToGrid w:val="0"/>
              <w:spacing w:line="240" w:lineRule="auto"/>
              <w:ind w:firstLine="0" w:firstLineChars="0"/>
              <w:jc w:val="center"/>
            </w:pPr>
            <w:r>
              <w:t>项    目</w:t>
            </w:r>
          </w:p>
        </w:tc>
        <w:tc>
          <w:tcPr>
            <w:tcW w:w="1364" w:type="dxa"/>
            <w:shd w:val="clear" w:color="auto" w:fill="auto"/>
            <w:vAlign w:val="center"/>
          </w:tcPr>
          <w:p>
            <w:pPr>
              <w:adjustRightInd w:val="0"/>
              <w:snapToGrid w:val="0"/>
              <w:spacing w:line="240" w:lineRule="auto"/>
              <w:ind w:firstLine="0" w:firstLineChars="0"/>
              <w:jc w:val="center"/>
            </w:pPr>
            <w:r>
              <w:t>单  位</w:t>
            </w:r>
          </w:p>
        </w:tc>
        <w:tc>
          <w:tcPr>
            <w:tcW w:w="5346" w:type="dxa"/>
            <w:shd w:val="clear" w:color="auto" w:fill="auto"/>
            <w:vAlign w:val="center"/>
          </w:tcPr>
          <w:p>
            <w:pPr>
              <w:adjustRightInd w:val="0"/>
              <w:snapToGrid w:val="0"/>
              <w:spacing w:line="240" w:lineRule="auto"/>
              <w:ind w:firstLine="0" w:firstLineChars="0"/>
              <w:jc w:val="center"/>
            </w:pPr>
            <w:r>
              <w:t>指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81" w:type="dxa"/>
            <w:shd w:val="clear" w:color="auto" w:fill="auto"/>
            <w:vAlign w:val="center"/>
          </w:tcPr>
          <w:p>
            <w:pPr>
              <w:adjustRightInd w:val="0"/>
              <w:snapToGrid w:val="0"/>
              <w:spacing w:line="240" w:lineRule="auto"/>
              <w:ind w:firstLine="0" w:firstLineChars="0"/>
              <w:jc w:val="center"/>
            </w:pPr>
            <w:r>
              <w:t>抗拉强度</w:t>
            </w:r>
          </w:p>
        </w:tc>
        <w:tc>
          <w:tcPr>
            <w:tcW w:w="1364" w:type="dxa"/>
            <w:shd w:val="clear" w:color="auto" w:fill="auto"/>
            <w:vAlign w:val="center"/>
          </w:tcPr>
          <w:p>
            <w:pPr>
              <w:adjustRightInd w:val="0"/>
              <w:snapToGrid w:val="0"/>
              <w:spacing w:line="240" w:lineRule="auto"/>
              <w:ind w:firstLine="0" w:firstLineChars="0"/>
              <w:jc w:val="center"/>
            </w:pPr>
            <w:r>
              <w:t>MPa</w:t>
            </w:r>
          </w:p>
        </w:tc>
        <w:tc>
          <w:tcPr>
            <w:tcW w:w="5346" w:type="dxa"/>
            <w:shd w:val="clear" w:color="auto" w:fill="auto"/>
            <w:vAlign w:val="center"/>
          </w:tcPr>
          <w:p>
            <w:pPr>
              <w:adjustRightInd w:val="0"/>
              <w:snapToGrid w:val="0"/>
              <w:spacing w:line="240" w:lineRule="auto"/>
              <w:ind w:firstLine="0" w:firstLineChars="0"/>
              <w:jc w:val="center"/>
            </w:pPr>
            <w:r>
              <w:t>215</w:t>
            </w:r>
            <w:r>
              <w:rPr>
                <w:rFonts w:hint="eastAsia"/>
              </w:rPr>
              <w:t>~</w:t>
            </w:r>
            <w: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81" w:type="dxa"/>
            <w:shd w:val="clear" w:color="auto" w:fill="auto"/>
            <w:vAlign w:val="center"/>
          </w:tcPr>
          <w:p>
            <w:pPr>
              <w:adjustRightInd w:val="0"/>
              <w:snapToGrid w:val="0"/>
              <w:spacing w:line="240" w:lineRule="auto"/>
              <w:ind w:firstLine="0" w:firstLineChars="0"/>
              <w:jc w:val="center"/>
            </w:pPr>
            <w:r>
              <w:t>延伸率</w:t>
            </w:r>
          </w:p>
        </w:tc>
        <w:tc>
          <w:tcPr>
            <w:tcW w:w="1364" w:type="dxa"/>
            <w:shd w:val="clear" w:color="auto" w:fill="auto"/>
            <w:vAlign w:val="center"/>
          </w:tcPr>
          <w:p>
            <w:pPr>
              <w:adjustRightInd w:val="0"/>
              <w:snapToGrid w:val="0"/>
              <w:spacing w:line="240" w:lineRule="auto"/>
              <w:ind w:firstLine="0" w:firstLineChars="0"/>
              <w:jc w:val="center"/>
            </w:pPr>
            <w:r>
              <w:t>％</w:t>
            </w:r>
          </w:p>
        </w:tc>
        <w:tc>
          <w:tcPr>
            <w:tcW w:w="5346" w:type="dxa"/>
            <w:shd w:val="clear" w:color="auto" w:fill="auto"/>
            <w:vAlign w:val="center"/>
          </w:tcPr>
          <w:p>
            <w:pPr>
              <w:adjustRightInd w:val="0"/>
              <w:snapToGrid w:val="0"/>
              <w:spacing w:line="240" w:lineRule="auto"/>
              <w:ind w:firstLine="0" w:firstLineChars="0"/>
              <w:jc w:val="cente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81" w:type="dxa"/>
            <w:shd w:val="clear" w:color="auto" w:fill="auto"/>
            <w:vAlign w:val="center"/>
          </w:tcPr>
          <w:p>
            <w:pPr>
              <w:adjustRightInd w:val="0"/>
              <w:snapToGrid w:val="0"/>
              <w:spacing w:line="240" w:lineRule="auto"/>
              <w:ind w:firstLine="0" w:firstLineChars="0"/>
              <w:jc w:val="center"/>
            </w:pPr>
            <w:r>
              <w:t>冷弯</w:t>
            </w:r>
          </w:p>
        </w:tc>
        <w:tc>
          <w:tcPr>
            <w:tcW w:w="1364" w:type="dxa"/>
            <w:shd w:val="clear" w:color="auto" w:fill="auto"/>
            <w:vAlign w:val="center"/>
          </w:tcPr>
          <w:p>
            <w:pPr>
              <w:adjustRightInd w:val="0"/>
              <w:snapToGrid w:val="0"/>
              <w:spacing w:line="240" w:lineRule="auto"/>
              <w:ind w:firstLine="0" w:firstLineChars="0"/>
              <w:jc w:val="center"/>
            </w:pPr>
          </w:p>
        </w:tc>
        <w:tc>
          <w:tcPr>
            <w:tcW w:w="5346" w:type="dxa"/>
            <w:shd w:val="clear" w:color="auto" w:fill="auto"/>
            <w:vAlign w:val="center"/>
          </w:tcPr>
          <w:p>
            <w:pPr>
              <w:adjustRightInd w:val="0"/>
              <w:snapToGrid w:val="0"/>
              <w:spacing w:line="240" w:lineRule="auto"/>
              <w:ind w:firstLine="0" w:firstLineChars="0"/>
              <w:jc w:val="center"/>
            </w:pPr>
            <w:r>
              <w:t>冷弯180°，不出现裂缝</w:t>
            </w:r>
          </w:p>
          <w:p>
            <w:pPr>
              <w:adjustRightInd w:val="0"/>
              <w:snapToGrid w:val="0"/>
              <w:spacing w:line="240" w:lineRule="auto"/>
              <w:ind w:firstLine="0" w:firstLineChars="0"/>
              <w:jc w:val="center"/>
            </w:pPr>
            <w:r>
              <w:t>在0°～60°范围内连续张闭50次不出现裂缝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81" w:type="dxa"/>
            <w:shd w:val="clear" w:color="auto" w:fill="auto"/>
            <w:vAlign w:val="center"/>
          </w:tcPr>
          <w:p>
            <w:pPr>
              <w:adjustRightInd w:val="0"/>
              <w:snapToGrid w:val="0"/>
              <w:spacing w:line="240" w:lineRule="auto"/>
              <w:ind w:firstLine="0" w:firstLineChars="0"/>
              <w:jc w:val="center"/>
            </w:pPr>
            <w:r>
              <w:t>相对密度</w:t>
            </w:r>
          </w:p>
        </w:tc>
        <w:tc>
          <w:tcPr>
            <w:tcW w:w="1364" w:type="dxa"/>
            <w:shd w:val="clear" w:color="auto" w:fill="auto"/>
            <w:vAlign w:val="center"/>
          </w:tcPr>
          <w:p>
            <w:pPr>
              <w:adjustRightInd w:val="0"/>
              <w:snapToGrid w:val="0"/>
              <w:spacing w:line="240" w:lineRule="auto"/>
              <w:ind w:firstLine="0" w:firstLineChars="0"/>
              <w:jc w:val="center"/>
            </w:pPr>
          </w:p>
        </w:tc>
        <w:tc>
          <w:tcPr>
            <w:tcW w:w="5346" w:type="dxa"/>
            <w:shd w:val="clear" w:color="auto" w:fill="auto"/>
            <w:vAlign w:val="center"/>
          </w:tcPr>
          <w:p>
            <w:pPr>
              <w:adjustRightInd w:val="0"/>
              <w:snapToGrid w:val="0"/>
              <w:spacing w:line="240" w:lineRule="auto"/>
              <w:ind w:firstLine="0" w:firstLineChars="0"/>
              <w:jc w:val="center"/>
            </w:pPr>
            <w:r>
              <w:t>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81" w:type="dxa"/>
            <w:shd w:val="clear" w:color="auto" w:fill="auto"/>
            <w:vAlign w:val="center"/>
          </w:tcPr>
          <w:p>
            <w:pPr>
              <w:adjustRightInd w:val="0"/>
              <w:snapToGrid w:val="0"/>
              <w:spacing w:line="240" w:lineRule="auto"/>
              <w:ind w:firstLine="0" w:firstLineChars="0"/>
              <w:jc w:val="center"/>
            </w:pPr>
            <w:r>
              <w:t>熔点</w:t>
            </w:r>
          </w:p>
        </w:tc>
        <w:tc>
          <w:tcPr>
            <w:tcW w:w="1364" w:type="dxa"/>
            <w:shd w:val="clear" w:color="auto" w:fill="auto"/>
            <w:vAlign w:val="center"/>
          </w:tcPr>
          <w:p>
            <w:pPr>
              <w:adjustRightInd w:val="0"/>
              <w:snapToGrid w:val="0"/>
              <w:spacing w:line="240" w:lineRule="auto"/>
              <w:ind w:firstLine="0" w:firstLineChars="0"/>
              <w:jc w:val="center"/>
            </w:pPr>
            <w:r>
              <w:t>℃</w:t>
            </w:r>
          </w:p>
        </w:tc>
        <w:tc>
          <w:tcPr>
            <w:tcW w:w="5346" w:type="dxa"/>
            <w:shd w:val="clear" w:color="auto" w:fill="auto"/>
            <w:vAlign w:val="center"/>
          </w:tcPr>
          <w:p>
            <w:pPr>
              <w:adjustRightInd w:val="0"/>
              <w:snapToGrid w:val="0"/>
              <w:spacing w:line="240" w:lineRule="auto"/>
              <w:ind w:firstLine="0" w:firstLineChars="0"/>
              <w:jc w:val="center"/>
            </w:pPr>
            <w:r>
              <w:t>1084.5</w:t>
            </w:r>
          </w:p>
        </w:tc>
      </w:tr>
    </w:tbl>
    <w:p>
      <w:pPr>
        <w:ind w:firstLine="480"/>
      </w:pPr>
      <w:r>
        <w:t>止水相关技术指标应符合《水工建筑物止水带技术规范》（DLT5215-2005）</w:t>
      </w:r>
      <w:r>
        <w:rPr>
          <w:rFonts w:hint="eastAsia"/>
        </w:rPr>
        <w:t>、《铜及铜合金带材》（</w:t>
      </w:r>
      <w:r>
        <w:t>GB T 2059-2017</w:t>
      </w:r>
      <w:r>
        <w:rPr>
          <w:rFonts w:hint="eastAsia"/>
        </w:rPr>
        <w:t>）</w:t>
      </w:r>
      <w:r>
        <w:t>等现行相关标准、规范的规定。</w:t>
      </w:r>
    </w:p>
    <w:p>
      <w:pPr>
        <w:ind w:firstLine="480"/>
      </w:pPr>
      <w:r>
        <w:t>4、挤塑板</w:t>
      </w:r>
    </w:p>
    <w:p>
      <w:pPr>
        <w:ind w:firstLine="480"/>
      </w:pPr>
      <w:r>
        <w:t>分缝处设置一道伸缩缝，缝宽2cm，并采用挤塑板夹缝处理，并在缝后采用沥青粘贴1m宽土工布。挤塑板技术参数：为聚乙烯低发泡板，其表观密度≥120kg/m</w:t>
      </w:r>
      <w:r>
        <w:rPr>
          <w:vertAlign w:val="superscript"/>
        </w:rPr>
        <w:t>3</w:t>
      </w:r>
      <w:r>
        <w:t>；抗拉及抗压强度≥0.15MPa；撕裂强度≥4N/mm；延伸率≥100；硬度（C形硬度计）≥40邵尔度；压缩永久变形≤3%，吸水率≤0.005g/cm</w:t>
      </w:r>
      <w:r>
        <w:rPr>
          <w:vertAlign w:val="superscript"/>
        </w:rPr>
        <w:t>3</w:t>
      </w:r>
      <w:r>
        <w:t>。</w:t>
      </w:r>
    </w:p>
    <w:p>
      <w:pPr>
        <w:ind w:firstLine="480"/>
      </w:pPr>
      <w:r>
        <w:t>伸缩缝、止水的施工须参照《加强水工建筑物止水和伸缩缝施工质量管理的若干意见》（苏水质监〔2009〕21号文）的要求执行。</w:t>
      </w:r>
    </w:p>
    <w:p>
      <w:pPr>
        <w:ind w:firstLine="480"/>
      </w:pPr>
      <w:r>
        <w:t>5、土工布</w:t>
      </w:r>
    </w:p>
    <w:p>
      <w:pPr>
        <w:ind w:firstLine="480"/>
      </w:pPr>
      <w:r>
        <w:t>土工布技术参数：采用10kN/m聚脂短丝针刺土工布，标称断裂强度对应伸长率20~100%，顶破强力1.4kN，单位面积质量偏差率±5%，幅宽偏差率-0.5%，厚度偏差率±10%，等效孔径O90 O95为0.07~0.2mm，垂直渗透系数为K×（10</w:t>
      </w:r>
      <w:r>
        <w:rPr>
          <w:vertAlign w:val="superscript"/>
        </w:rPr>
        <w:t>-2</w:t>
      </w:r>
      <w:r>
        <w:t>～10</w:t>
      </w:r>
      <w:r>
        <w:rPr>
          <w:vertAlign w:val="superscript"/>
        </w:rPr>
        <w:t>-3</w:t>
      </w:r>
      <w:r>
        <w:t>）cm/s，抗酸碱性能（强力保持率）≥80%，抗氧化性能（强力保持率）≥80%。</w:t>
      </w:r>
    </w:p>
    <w:p>
      <w:pPr>
        <w:ind w:firstLine="480"/>
      </w:pPr>
      <w:r>
        <w:t>土工布相关技术指标应符合《土工合成材料短纤针刺非织造土工布》（GBT17638-2017）等现行相关标准、规范的规定。</w:t>
      </w:r>
    </w:p>
    <w:p>
      <w:pPr>
        <w:pStyle w:val="4"/>
        <w:keepNext w:val="0"/>
        <w:rPr>
          <w:rFonts w:hint="eastAsia"/>
          <w:highlight w:val="none"/>
        </w:rPr>
      </w:pPr>
      <w:r>
        <w:rPr>
          <w:highlight w:val="none"/>
        </w:rPr>
        <w:t>6</w:t>
      </w:r>
      <w:r>
        <w:rPr>
          <w:rFonts w:hint="eastAsia"/>
          <w:highlight w:val="none"/>
        </w:rPr>
        <w:t>相关强制性条文执行情况</w:t>
      </w:r>
    </w:p>
    <w:p>
      <w:pPr>
        <w:ind w:firstLine="0" w:firstLineChars="0"/>
        <w:jc w:val="center"/>
        <w:rPr>
          <w:rFonts w:hint="eastAsia"/>
          <w:b/>
          <w:bCs/>
          <w:highlight w:val="none"/>
        </w:rPr>
      </w:pPr>
      <w:r>
        <w:rPr>
          <w:rFonts w:hint="eastAsia"/>
          <w:b/>
          <w:bCs/>
          <w:highlight w:val="none"/>
        </w:rPr>
        <w:t>表6-1</w:t>
      </w:r>
      <w:r>
        <w:rPr>
          <w:b/>
          <w:bCs/>
          <w:highlight w:val="none"/>
        </w:rPr>
        <w:t xml:space="preserve">  </w:t>
      </w:r>
      <w:r>
        <w:rPr>
          <w:rFonts w:hint="eastAsia"/>
          <w:b/>
          <w:bCs/>
          <w:highlight w:val="none"/>
        </w:rPr>
        <w:t>相关强制性条文</w:t>
      </w:r>
    </w:p>
    <w:tbl>
      <w:tblPr>
        <w:tblStyle w:val="19"/>
        <w:tblW w:w="513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31"/>
        <w:gridCol w:w="654"/>
        <w:gridCol w:w="881"/>
        <w:gridCol w:w="3596"/>
        <w:gridCol w:w="10"/>
        <w:gridCol w:w="4"/>
        <w:gridCol w:w="2014"/>
        <w:gridCol w:w="8"/>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000" w:type="pct"/>
            <w:gridSpan w:val="10"/>
            <w:noWrap w:val="0"/>
            <w:vAlign w:val="center"/>
          </w:tcPr>
          <w:p>
            <w:pPr>
              <w:widowControl/>
              <w:ind w:firstLine="0" w:firstLineChars="0"/>
              <w:jc w:val="center"/>
              <w:rPr>
                <w:b/>
                <w:color w:val="000000"/>
                <w:kern w:val="0"/>
                <w:sz w:val="22"/>
                <w:szCs w:val="22"/>
              </w:rPr>
            </w:pPr>
            <w:r>
              <w:rPr>
                <w:b/>
                <w:color w:val="000000"/>
                <w:kern w:val="0"/>
                <w:sz w:val="22"/>
                <w:szCs w:val="22"/>
              </w:rPr>
              <w:t>工程等别与建筑物级别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93" w:type="pct"/>
            <w:gridSpan w:val="4"/>
            <w:noWrap w:val="0"/>
            <w:vAlign w:val="center"/>
          </w:tcPr>
          <w:p>
            <w:pPr>
              <w:widowControl/>
              <w:ind w:firstLine="0" w:firstLineChars="0"/>
              <w:jc w:val="center"/>
              <w:rPr>
                <w:b/>
                <w:color w:val="000000"/>
                <w:kern w:val="0"/>
                <w:sz w:val="22"/>
                <w:szCs w:val="22"/>
              </w:rPr>
            </w:pPr>
            <w:r>
              <w:rPr>
                <w:b/>
                <w:color w:val="000000"/>
                <w:kern w:val="0"/>
                <w:sz w:val="22"/>
                <w:szCs w:val="22"/>
              </w:rPr>
              <w:t>标准名称1</w:t>
            </w:r>
          </w:p>
        </w:tc>
        <w:tc>
          <w:tcPr>
            <w:tcW w:w="3706" w:type="pct"/>
            <w:gridSpan w:val="6"/>
            <w:noWrap w:val="0"/>
            <w:vAlign w:val="center"/>
          </w:tcPr>
          <w:p>
            <w:pPr>
              <w:widowControl/>
              <w:ind w:firstLine="0" w:firstLineChars="0"/>
              <w:jc w:val="center"/>
              <w:rPr>
                <w:b/>
                <w:color w:val="000000"/>
                <w:kern w:val="0"/>
                <w:sz w:val="22"/>
                <w:szCs w:val="22"/>
              </w:rPr>
            </w:pPr>
            <w:r>
              <w:rPr>
                <w:b/>
                <w:color w:val="000000"/>
                <w:kern w:val="0"/>
                <w:sz w:val="22"/>
                <w:szCs w:val="22"/>
              </w:rPr>
              <w:t>《水利水电工程等级划分及洪水标准》SL252—2017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79" w:type="pct"/>
            <w:noWrap w:val="0"/>
            <w:vAlign w:val="center"/>
          </w:tcPr>
          <w:p>
            <w:pPr>
              <w:widowControl/>
              <w:ind w:firstLine="0" w:firstLineChars="0"/>
              <w:jc w:val="center"/>
              <w:rPr>
                <w:b/>
                <w:color w:val="000000"/>
                <w:kern w:val="0"/>
                <w:sz w:val="22"/>
                <w:szCs w:val="22"/>
              </w:rPr>
            </w:pPr>
            <w:r>
              <w:rPr>
                <w:b/>
                <w:color w:val="000000"/>
                <w:kern w:val="0"/>
                <w:sz w:val="22"/>
                <w:szCs w:val="22"/>
              </w:rPr>
              <w:t>序号</w:t>
            </w:r>
          </w:p>
        </w:tc>
        <w:tc>
          <w:tcPr>
            <w:tcW w:w="814" w:type="pct"/>
            <w:gridSpan w:val="3"/>
            <w:noWrap w:val="0"/>
            <w:vAlign w:val="center"/>
          </w:tcPr>
          <w:p>
            <w:pPr>
              <w:widowControl/>
              <w:ind w:firstLine="0" w:firstLineChars="0"/>
              <w:jc w:val="center"/>
              <w:rPr>
                <w:b/>
                <w:color w:val="000000"/>
                <w:kern w:val="0"/>
                <w:sz w:val="22"/>
                <w:szCs w:val="22"/>
              </w:rPr>
            </w:pPr>
            <w:r>
              <w:rPr>
                <w:b/>
                <w:color w:val="000000"/>
                <w:kern w:val="0"/>
                <w:sz w:val="22"/>
                <w:szCs w:val="22"/>
              </w:rPr>
              <w:t>条款号</w:t>
            </w:r>
          </w:p>
        </w:tc>
        <w:tc>
          <w:tcPr>
            <w:tcW w:w="1877" w:type="pct"/>
            <w:gridSpan w:val="3"/>
            <w:noWrap w:val="0"/>
            <w:vAlign w:val="center"/>
          </w:tcPr>
          <w:p>
            <w:pPr>
              <w:widowControl/>
              <w:ind w:firstLine="0" w:firstLineChars="0"/>
              <w:jc w:val="center"/>
              <w:rPr>
                <w:b/>
                <w:color w:val="000000"/>
                <w:kern w:val="0"/>
                <w:sz w:val="22"/>
                <w:szCs w:val="22"/>
              </w:rPr>
            </w:pPr>
            <w:r>
              <w:rPr>
                <w:b/>
                <w:color w:val="000000"/>
                <w:kern w:val="0"/>
                <w:sz w:val="22"/>
                <w:szCs w:val="22"/>
              </w:rPr>
              <w:t>强制性条文内容</w:t>
            </w:r>
          </w:p>
        </w:tc>
        <w:tc>
          <w:tcPr>
            <w:tcW w:w="1047" w:type="pct"/>
            <w:noWrap w:val="0"/>
            <w:vAlign w:val="center"/>
          </w:tcPr>
          <w:p>
            <w:pPr>
              <w:widowControl/>
              <w:ind w:firstLine="0" w:firstLineChars="0"/>
              <w:jc w:val="center"/>
              <w:rPr>
                <w:b/>
                <w:color w:val="000000"/>
                <w:kern w:val="0"/>
                <w:sz w:val="22"/>
                <w:szCs w:val="22"/>
              </w:rPr>
            </w:pPr>
            <w:r>
              <w:rPr>
                <w:b/>
                <w:color w:val="000000"/>
                <w:kern w:val="0"/>
                <w:sz w:val="22"/>
                <w:szCs w:val="22"/>
              </w:rPr>
              <w:t>执行情况</w:t>
            </w:r>
          </w:p>
        </w:tc>
        <w:tc>
          <w:tcPr>
            <w:tcW w:w="781" w:type="pct"/>
            <w:gridSpan w:val="2"/>
            <w:noWrap w:val="0"/>
            <w:vAlign w:val="center"/>
          </w:tcPr>
          <w:p>
            <w:pPr>
              <w:widowControl/>
              <w:ind w:firstLine="0" w:firstLineChars="0"/>
              <w:jc w:val="center"/>
              <w:rPr>
                <w:b/>
                <w:color w:val="000000"/>
                <w:kern w:val="0"/>
                <w:sz w:val="22"/>
                <w:szCs w:val="22"/>
              </w:rPr>
            </w:pPr>
            <w:r>
              <w:rPr>
                <w:b/>
                <w:color w:val="000000"/>
                <w:kern w:val="0"/>
                <w:sz w:val="22"/>
                <w:szCs w:val="22"/>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bCs/>
                <w:color w:val="000000"/>
                <w:kern w:val="0"/>
                <w:sz w:val="22"/>
                <w:szCs w:val="22"/>
              </w:rPr>
              <w:t>1</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3.0.1</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水利水电工程的等别，应根据其工程规模、效益和在经济社会中的重要性，按表3.0.1确定。</w:t>
            </w:r>
          </w:p>
        </w:tc>
        <w:tc>
          <w:tcPr>
            <w:tcW w:w="1047" w:type="pct"/>
            <w:noWrap w:val="0"/>
            <w:vAlign w:val="center"/>
          </w:tcPr>
          <w:p>
            <w:pPr>
              <w:spacing w:line="240" w:lineRule="auto"/>
              <w:ind w:firstLine="440"/>
              <w:jc w:val="left"/>
              <w:rPr>
                <w:rFonts w:hint="eastAsia"/>
                <w:bCs/>
                <w:color w:val="000000"/>
                <w:kern w:val="0"/>
                <w:sz w:val="22"/>
                <w:szCs w:val="22"/>
                <w:lang w:eastAsia="zh-CN"/>
              </w:rPr>
            </w:pPr>
            <w:r>
              <w:rPr>
                <w:bCs/>
                <w:color w:val="000000"/>
                <w:kern w:val="0"/>
                <w:sz w:val="22"/>
                <w:szCs w:val="22"/>
              </w:rPr>
              <w:t>本</w:t>
            </w:r>
            <w:r>
              <w:rPr>
                <w:rFonts w:hint="eastAsia"/>
                <w:bCs/>
                <w:color w:val="000000"/>
                <w:kern w:val="0"/>
                <w:sz w:val="22"/>
                <w:szCs w:val="22"/>
              </w:rPr>
              <w:t>次</w:t>
            </w:r>
            <w:r>
              <w:rPr>
                <w:bCs/>
                <w:color w:val="000000"/>
                <w:kern w:val="0"/>
                <w:sz w:val="22"/>
                <w:szCs w:val="22"/>
              </w:rPr>
              <w:t>工程</w:t>
            </w:r>
            <w:r>
              <w:rPr>
                <w:rFonts w:hint="eastAsia"/>
                <w:bCs/>
                <w:color w:val="000000"/>
                <w:kern w:val="0"/>
                <w:sz w:val="22"/>
                <w:szCs w:val="22"/>
              </w:rPr>
              <w:t>建筑均为根据工程规模等确定本工程等别为</w:t>
            </w:r>
            <w:r>
              <w:rPr>
                <w:rFonts w:hint="eastAsia"/>
                <w:bCs/>
                <w:color w:val="000000"/>
                <w:kern w:val="0"/>
                <w:sz w:val="22"/>
                <w:szCs w:val="22"/>
                <w:lang w:val="en-US" w:eastAsia="zh-CN"/>
              </w:rPr>
              <w:t>IV</w:t>
            </w:r>
            <w:r>
              <w:rPr>
                <w:bCs/>
                <w:color w:val="000000"/>
                <w:kern w:val="0"/>
                <w:sz w:val="22"/>
                <w:szCs w:val="22"/>
              </w:rPr>
              <w:t>等</w:t>
            </w:r>
            <w:r>
              <w:rPr>
                <w:rFonts w:hint="eastAsia"/>
                <w:bCs/>
                <w:color w:val="000000"/>
                <w:kern w:val="0"/>
                <w:sz w:val="22"/>
                <w:szCs w:val="22"/>
                <w:lang w:eastAsia="zh-CN"/>
              </w:rPr>
              <w:t>。</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bCs/>
                <w:color w:val="000000"/>
                <w:kern w:val="0"/>
                <w:sz w:val="22"/>
                <w:szCs w:val="22"/>
              </w:rPr>
              <w:t>2</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4.</w:t>
            </w:r>
            <w:r>
              <w:rPr>
                <w:rFonts w:hint="eastAsia"/>
                <w:bCs/>
                <w:color w:val="000000"/>
                <w:kern w:val="0"/>
                <w:sz w:val="22"/>
                <w:szCs w:val="22"/>
              </w:rPr>
              <w:t>2</w:t>
            </w:r>
            <w:r>
              <w:rPr>
                <w:bCs/>
                <w:color w:val="000000"/>
                <w:kern w:val="0"/>
                <w:sz w:val="22"/>
                <w:szCs w:val="22"/>
              </w:rPr>
              <w:t>.1</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rFonts w:hint="eastAsia"/>
                <w:bCs/>
                <w:color w:val="000000"/>
                <w:kern w:val="0"/>
                <w:sz w:val="22"/>
                <w:szCs w:val="22"/>
              </w:rPr>
              <w:t>永久性水工建筑物</w:t>
            </w:r>
            <w:r>
              <w:rPr>
                <w:bCs/>
                <w:color w:val="000000"/>
                <w:kern w:val="0"/>
                <w:sz w:val="22"/>
                <w:szCs w:val="22"/>
              </w:rPr>
              <w:t>级别，应根据按表4.</w:t>
            </w:r>
            <w:r>
              <w:rPr>
                <w:rFonts w:hint="eastAsia"/>
                <w:bCs/>
                <w:color w:val="000000"/>
                <w:kern w:val="0"/>
                <w:sz w:val="22"/>
                <w:szCs w:val="22"/>
              </w:rPr>
              <w:t>2</w:t>
            </w:r>
            <w:r>
              <w:rPr>
                <w:bCs/>
                <w:color w:val="000000"/>
                <w:kern w:val="0"/>
                <w:sz w:val="22"/>
                <w:szCs w:val="22"/>
              </w:rPr>
              <w:t>.1确定。</w:t>
            </w:r>
          </w:p>
        </w:tc>
        <w:tc>
          <w:tcPr>
            <w:tcW w:w="1047" w:type="pct"/>
            <w:noWrap w:val="0"/>
            <w:vAlign w:val="center"/>
          </w:tcPr>
          <w:p>
            <w:pPr>
              <w:spacing w:line="240" w:lineRule="auto"/>
              <w:ind w:firstLine="440"/>
              <w:jc w:val="left"/>
              <w:rPr>
                <w:bCs/>
                <w:color w:val="000000"/>
                <w:kern w:val="0"/>
                <w:sz w:val="22"/>
                <w:szCs w:val="22"/>
              </w:rPr>
            </w:pPr>
            <w:r>
              <w:rPr>
                <w:rFonts w:hint="eastAsia"/>
                <w:bCs/>
                <w:color w:val="000000"/>
                <w:kern w:val="0"/>
                <w:sz w:val="22"/>
                <w:szCs w:val="22"/>
              </w:rPr>
              <w:t>本次工程</w:t>
            </w:r>
            <w:r>
              <w:rPr>
                <w:bCs/>
                <w:color w:val="000000"/>
                <w:kern w:val="0"/>
                <w:sz w:val="22"/>
                <w:szCs w:val="22"/>
              </w:rPr>
              <w:t>等别为</w:t>
            </w:r>
            <w:r>
              <w:rPr>
                <w:rFonts w:hint="eastAsia"/>
                <w:bCs/>
                <w:color w:val="000000"/>
                <w:kern w:val="0"/>
                <w:sz w:val="22"/>
                <w:szCs w:val="22"/>
                <w:lang w:val="en-US" w:eastAsia="zh-CN"/>
              </w:rPr>
              <w:t>IV</w:t>
            </w:r>
            <w:r>
              <w:rPr>
                <w:bCs/>
                <w:color w:val="000000"/>
                <w:kern w:val="0"/>
                <w:sz w:val="22"/>
                <w:szCs w:val="22"/>
              </w:rPr>
              <w:t>等，</w:t>
            </w:r>
            <w:r>
              <w:rPr>
                <w:rFonts w:hint="eastAsia"/>
                <w:bCs/>
                <w:color w:val="000000"/>
                <w:kern w:val="0"/>
                <w:sz w:val="22"/>
                <w:szCs w:val="22"/>
              </w:rPr>
              <w:t>主要建筑</w:t>
            </w:r>
            <w:r>
              <w:rPr>
                <w:bCs/>
                <w:color w:val="000000"/>
                <w:kern w:val="0"/>
                <w:sz w:val="22"/>
                <w:szCs w:val="22"/>
              </w:rPr>
              <w:t>为</w:t>
            </w:r>
            <w:r>
              <w:rPr>
                <w:rFonts w:hint="eastAsia"/>
                <w:bCs/>
                <w:color w:val="000000"/>
                <w:kern w:val="0"/>
                <w:sz w:val="22"/>
                <w:szCs w:val="22"/>
                <w:lang w:val="en-US" w:eastAsia="zh-CN"/>
              </w:rPr>
              <w:t>4</w:t>
            </w:r>
            <w:r>
              <w:rPr>
                <w:bCs/>
                <w:color w:val="000000"/>
                <w:kern w:val="0"/>
                <w:sz w:val="22"/>
                <w:szCs w:val="22"/>
              </w:rPr>
              <w:t>级。</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000" w:type="pct"/>
            <w:gridSpan w:val="10"/>
            <w:noWrap w:val="0"/>
            <w:vAlign w:val="center"/>
          </w:tcPr>
          <w:p>
            <w:pPr>
              <w:widowControl/>
              <w:ind w:firstLine="0" w:firstLineChars="0"/>
              <w:jc w:val="center"/>
              <w:rPr>
                <w:b/>
                <w:color w:val="000000"/>
                <w:kern w:val="0"/>
                <w:sz w:val="22"/>
                <w:szCs w:val="22"/>
              </w:rPr>
            </w:pPr>
            <w:r>
              <w:rPr>
                <w:b/>
                <w:color w:val="000000"/>
                <w:kern w:val="0"/>
                <w:sz w:val="22"/>
                <w:szCs w:val="22"/>
              </w:rPr>
              <w:t>稳定与强度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93" w:type="pct"/>
            <w:gridSpan w:val="4"/>
            <w:noWrap w:val="0"/>
            <w:vAlign w:val="center"/>
          </w:tcPr>
          <w:p>
            <w:pPr>
              <w:widowControl/>
              <w:ind w:firstLine="0" w:firstLineChars="0"/>
              <w:jc w:val="center"/>
              <w:rPr>
                <w:b/>
                <w:color w:val="000000"/>
                <w:kern w:val="0"/>
                <w:sz w:val="22"/>
                <w:szCs w:val="22"/>
              </w:rPr>
            </w:pPr>
            <w:r>
              <w:rPr>
                <w:b/>
                <w:color w:val="000000"/>
                <w:kern w:val="0"/>
                <w:sz w:val="22"/>
                <w:szCs w:val="22"/>
              </w:rPr>
              <w:t>标准名称1</w:t>
            </w:r>
          </w:p>
        </w:tc>
        <w:tc>
          <w:tcPr>
            <w:tcW w:w="3706" w:type="pct"/>
            <w:gridSpan w:val="6"/>
            <w:noWrap w:val="0"/>
            <w:vAlign w:val="center"/>
          </w:tcPr>
          <w:p>
            <w:pPr>
              <w:widowControl/>
              <w:ind w:firstLine="0" w:firstLineChars="0"/>
              <w:jc w:val="center"/>
              <w:rPr>
                <w:b/>
                <w:color w:val="000000"/>
                <w:kern w:val="0"/>
                <w:sz w:val="22"/>
                <w:szCs w:val="22"/>
              </w:rPr>
            </w:pPr>
            <w:r>
              <w:rPr>
                <w:b/>
                <w:color w:val="000000"/>
                <w:kern w:val="0"/>
                <w:sz w:val="22"/>
                <w:szCs w:val="22"/>
              </w:rPr>
              <w:t>《水工混凝土结构设计规范》 SL191-2008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79" w:type="pct"/>
            <w:noWrap w:val="0"/>
            <w:vAlign w:val="center"/>
          </w:tcPr>
          <w:p>
            <w:pPr>
              <w:widowControl/>
              <w:ind w:firstLine="0" w:firstLineChars="0"/>
              <w:jc w:val="center"/>
              <w:rPr>
                <w:b/>
                <w:color w:val="000000"/>
                <w:kern w:val="0"/>
                <w:sz w:val="22"/>
                <w:szCs w:val="22"/>
              </w:rPr>
            </w:pPr>
            <w:r>
              <w:rPr>
                <w:b/>
                <w:color w:val="000000"/>
                <w:kern w:val="0"/>
                <w:sz w:val="22"/>
                <w:szCs w:val="22"/>
              </w:rPr>
              <w:t>序号</w:t>
            </w:r>
          </w:p>
        </w:tc>
        <w:tc>
          <w:tcPr>
            <w:tcW w:w="814" w:type="pct"/>
            <w:gridSpan w:val="3"/>
            <w:noWrap w:val="0"/>
            <w:vAlign w:val="center"/>
          </w:tcPr>
          <w:p>
            <w:pPr>
              <w:widowControl/>
              <w:ind w:firstLine="0" w:firstLineChars="0"/>
              <w:jc w:val="center"/>
              <w:rPr>
                <w:b/>
                <w:color w:val="000000"/>
                <w:kern w:val="0"/>
                <w:sz w:val="22"/>
                <w:szCs w:val="22"/>
              </w:rPr>
            </w:pPr>
            <w:r>
              <w:rPr>
                <w:b/>
                <w:color w:val="000000"/>
                <w:kern w:val="0"/>
                <w:sz w:val="22"/>
                <w:szCs w:val="22"/>
              </w:rPr>
              <w:t>条款号</w:t>
            </w:r>
          </w:p>
        </w:tc>
        <w:tc>
          <w:tcPr>
            <w:tcW w:w="1877" w:type="pct"/>
            <w:gridSpan w:val="3"/>
            <w:noWrap w:val="0"/>
            <w:vAlign w:val="center"/>
          </w:tcPr>
          <w:p>
            <w:pPr>
              <w:widowControl/>
              <w:ind w:firstLine="0" w:firstLineChars="0"/>
              <w:jc w:val="center"/>
              <w:rPr>
                <w:b/>
                <w:color w:val="000000"/>
                <w:kern w:val="0"/>
                <w:sz w:val="22"/>
                <w:szCs w:val="22"/>
              </w:rPr>
            </w:pPr>
            <w:r>
              <w:rPr>
                <w:b/>
                <w:color w:val="000000"/>
                <w:kern w:val="0"/>
                <w:sz w:val="22"/>
                <w:szCs w:val="22"/>
              </w:rPr>
              <w:t>强制性条文内容</w:t>
            </w:r>
          </w:p>
        </w:tc>
        <w:tc>
          <w:tcPr>
            <w:tcW w:w="1047" w:type="pct"/>
            <w:noWrap w:val="0"/>
            <w:vAlign w:val="center"/>
          </w:tcPr>
          <w:p>
            <w:pPr>
              <w:widowControl/>
              <w:ind w:firstLine="0" w:firstLineChars="0"/>
              <w:jc w:val="center"/>
              <w:rPr>
                <w:b/>
                <w:color w:val="000000"/>
                <w:kern w:val="0"/>
                <w:sz w:val="22"/>
                <w:szCs w:val="22"/>
              </w:rPr>
            </w:pPr>
            <w:r>
              <w:rPr>
                <w:b/>
                <w:color w:val="000000"/>
                <w:kern w:val="0"/>
                <w:sz w:val="22"/>
                <w:szCs w:val="22"/>
              </w:rPr>
              <w:t>执行情况</w:t>
            </w:r>
          </w:p>
        </w:tc>
        <w:tc>
          <w:tcPr>
            <w:tcW w:w="781" w:type="pct"/>
            <w:gridSpan w:val="2"/>
            <w:noWrap w:val="0"/>
            <w:vAlign w:val="center"/>
          </w:tcPr>
          <w:p>
            <w:pPr>
              <w:widowControl/>
              <w:ind w:firstLine="0" w:firstLineChars="0"/>
              <w:jc w:val="center"/>
              <w:rPr>
                <w:b/>
                <w:color w:val="000000"/>
                <w:kern w:val="0"/>
                <w:sz w:val="22"/>
                <w:szCs w:val="22"/>
              </w:rPr>
            </w:pPr>
            <w:r>
              <w:rPr>
                <w:b/>
                <w:color w:val="000000"/>
                <w:kern w:val="0"/>
                <w:sz w:val="22"/>
                <w:szCs w:val="22"/>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bCs/>
                <w:color w:val="000000"/>
                <w:kern w:val="0"/>
                <w:sz w:val="22"/>
                <w:szCs w:val="22"/>
              </w:rPr>
              <w:t>1</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3.1.9</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未经技术鉴定或设计许可，不应改变结构的用途和使用环境。</w:t>
            </w:r>
          </w:p>
        </w:tc>
        <w:tc>
          <w:tcPr>
            <w:tcW w:w="1047" w:type="pct"/>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未发生改变结构的用土和使用环境的现象</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bCs/>
                <w:color w:val="000000"/>
                <w:kern w:val="0"/>
                <w:sz w:val="22"/>
                <w:szCs w:val="22"/>
              </w:rPr>
              <w:t>2</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3.2.2</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承载能力极限状态计算时，结构构件计算截面上的荷载效应组合设计值应按下列规定计算：</w:t>
            </w:r>
          </w:p>
        </w:tc>
        <w:tc>
          <w:tcPr>
            <w:tcW w:w="1047" w:type="pct"/>
            <w:noWrap w:val="0"/>
            <w:vAlign w:val="center"/>
          </w:tcPr>
          <w:p>
            <w:pPr>
              <w:spacing w:line="240" w:lineRule="auto"/>
              <w:ind w:firstLine="440"/>
              <w:jc w:val="left"/>
              <w:rPr>
                <w:bCs/>
                <w:color w:val="000000"/>
                <w:kern w:val="0"/>
                <w:sz w:val="22"/>
                <w:szCs w:val="22"/>
              </w:rPr>
            </w:pPr>
            <w:r>
              <w:rPr>
                <w:bCs/>
                <w:color w:val="000000"/>
                <w:kern w:val="0"/>
                <w:sz w:val="22"/>
                <w:szCs w:val="22"/>
              </w:rPr>
              <w:t>结构构件计算截面上的荷载效应组合设计值均按规范规定取值</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bCs/>
                <w:color w:val="000000"/>
                <w:kern w:val="0"/>
                <w:sz w:val="22"/>
                <w:szCs w:val="22"/>
              </w:rPr>
              <w:t>3</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3.2.4</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承载能力极限状态计算时，钢筋混凝土、预应力混凝土及素混凝土结构构件的承载力安全系数K不应小于表3.2.4的规定。</w:t>
            </w:r>
          </w:p>
        </w:tc>
        <w:tc>
          <w:tcPr>
            <w:tcW w:w="1047" w:type="pct"/>
            <w:noWrap w:val="0"/>
            <w:vAlign w:val="center"/>
          </w:tcPr>
          <w:p>
            <w:pPr>
              <w:spacing w:line="240" w:lineRule="auto"/>
              <w:ind w:firstLine="440"/>
              <w:jc w:val="left"/>
              <w:rPr>
                <w:bCs/>
                <w:color w:val="000000"/>
                <w:kern w:val="0"/>
                <w:sz w:val="22"/>
                <w:szCs w:val="22"/>
              </w:rPr>
            </w:pPr>
            <w:r>
              <w:rPr>
                <w:bCs/>
                <w:color w:val="000000"/>
                <w:kern w:val="0"/>
                <w:sz w:val="22"/>
                <w:szCs w:val="22"/>
              </w:rPr>
              <w:t>混凝土结构构件的承载力安全系数按表3.2.4规定取值。</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bCs/>
                <w:color w:val="000000"/>
                <w:kern w:val="0"/>
                <w:sz w:val="22"/>
                <w:szCs w:val="22"/>
              </w:rPr>
              <w:t>4</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4.1.4</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混凝土轴心抗压、轴心抗拉强度标准值fck、ftk 应按表4.1.4确定。</w:t>
            </w:r>
          </w:p>
        </w:tc>
        <w:tc>
          <w:tcPr>
            <w:tcW w:w="1047" w:type="pct"/>
            <w:noWrap w:val="0"/>
            <w:vAlign w:val="center"/>
          </w:tcPr>
          <w:p>
            <w:pPr>
              <w:spacing w:line="240" w:lineRule="auto"/>
              <w:ind w:firstLine="440"/>
              <w:jc w:val="left"/>
              <w:rPr>
                <w:bCs/>
                <w:color w:val="000000"/>
                <w:kern w:val="0"/>
                <w:sz w:val="22"/>
                <w:szCs w:val="22"/>
              </w:rPr>
            </w:pPr>
            <w:r>
              <w:rPr>
                <w:bCs/>
                <w:color w:val="000000"/>
                <w:kern w:val="0"/>
                <w:sz w:val="22"/>
                <w:szCs w:val="22"/>
              </w:rPr>
              <w:t>结构设计时均按表4.1.4取值。</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bCs/>
                <w:color w:val="000000"/>
                <w:kern w:val="0"/>
                <w:sz w:val="22"/>
                <w:szCs w:val="22"/>
              </w:rPr>
              <w:t>5</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4.1.5</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混凝土轴心抗压、轴心抗拉强度设计值fc、ft应按表4.1.5确定。</w:t>
            </w:r>
          </w:p>
        </w:tc>
        <w:tc>
          <w:tcPr>
            <w:tcW w:w="1047" w:type="pct"/>
            <w:noWrap w:val="0"/>
            <w:vAlign w:val="center"/>
          </w:tcPr>
          <w:p>
            <w:pPr>
              <w:spacing w:line="240" w:lineRule="auto"/>
              <w:ind w:firstLine="440"/>
              <w:jc w:val="left"/>
              <w:rPr>
                <w:bCs/>
                <w:color w:val="000000"/>
                <w:kern w:val="0"/>
                <w:sz w:val="22"/>
                <w:szCs w:val="22"/>
              </w:rPr>
            </w:pPr>
            <w:r>
              <w:rPr>
                <w:bCs/>
                <w:color w:val="000000"/>
                <w:kern w:val="0"/>
                <w:sz w:val="22"/>
                <w:szCs w:val="22"/>
              </w:rPr>
              <w:t>结构设计时均按表4.1.5取值。</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bCs/>
                <w:color w:val="000000"/>
                <w:kern w:val="0"/>
                <w:sz w:val="22"/>
                <w:szCs w:val="22"/>
              </w:rPr>
              <w:t>6</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5.1.1</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素混凝土不得用于受拉构件。</w:t>
            </w:r>
          </w:p>
        </w:tc>
        <w:tc>
          <w:tcPr>
            <w:tcW w:w="1047" w:type="pct"/>
            <w:noWrap w:val="0"/>
            <w:vAlign w:val="center"/>
          </w:tcPr>
          <w:p>
            <w:pPr>
              <w:spacing w:line="240" w:lineRule="auto"/>
              <w:ind w:firstLine="440"/>
              <w:jc w:val="left"/>
              <w:rPr>
                <w:bCs/>
                <w:color w:val="000000"/>
                <w:kern w:val="0"/>
                <w:sz w:val="22"/>
                <w:szCs w:val="22"/>
              </w:rPr>
            </w:pPr>
            <w:r>
              <w:rPr>
                <w:bCs/>
                <w:color w:val="000000"/>
                <w:kern w:val="0"/>
                <w:sz w:val="22"/>
                <w:szCs w:val="22"/>
              </w:rPr>
              <w:t>设计中无素混凝土受拉构件。</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93" w:type="pct"/>
            <w:gridSpan w:val="4"/>
            <w:noWrap w:val="0"/>
            <w:vAlign w:val="center"/>
          </w:tcPr>
          <w:p>
            <w:pPr>
              <w:widowControl/>
              <w:ind w:firstLine="0" w:firstLineChars="0"/>
              <w:jc w:val="center"/>
              <w:rPr>
                <w:b/>
                <w:color w:val="000000"/>
                <w:kern w:val="0"/>
                <w:sz w:val="22"/>
                <w:szCs w:val="22"/>
              </w:rPr>
            </w:pPr>
            <w:r>
              <w:rPr>
                <w:b/>
                <w:color w:val="000000"/>
                <w:kern w:val="0"/>
                <w:sz w:val="22"/>
                <w:szCs w:val="22"/>
              </w:rPr>
              <w:t>标准名称2</w:t>
            </w:r>
          </w:p>
        </w:tc>
        <w:tc>
          <w:tcPr>
            <w:tcW w:w="3706" w:type="pct"/>
            <w:gridSpan w:val="6"/>
            <w:noWrap w:val="0"/>
            <w:vAlign w:val="center"/>
          </w:tcPr>
          <w:p>
            <w:pPr>
              <w:widowControl/>
              <w:ind w:firstLine="0" w:firstLineChars="0"/>
              <w:jc w:val="center"/>
              <w:rPr>
                <w:b/>
                <w:color w:val="000000"/>
                <w:kern w:val="0"/>
                <w:sz w:val="22"/>
                <w:szCs w:val="22"/>
              </w:rPr>
            </w:pPr>
            <w:r>
              <w:rPr>
                <w:b/>
                <w:color w:val="000000"/>
                <w:kern w:val="0"/>
                <w:sz w:val="22"/>
                <w:szCs w:val="22"/>
              </w:rPr>
              <w:t>《水工挡土墙设计规范》  SL379-2007</w:t>
            </w:r>
            <w:r>
              <w:rPr>
                <w:b/>
                <w:color w:val="000000"/>
                <w:kern w:val="0"/>
                <w:sz w:val="22"/>
                <w:szCs w:val="22"/>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79" w:type="pct"/>
            <w:noWrap w:val="0"/>
            <w:vAlign w:val="center"/>
          </w:tcPr>
          <w:p>
            <w:pPr>
              <w:widowControl/>
              <w:ind w:firstLine="0" w:firstLineChars="0"/>
              <w:jc w:val="center"/>
              <w:rPr>
                <w:b/>
                <w:color w:val="000000"/>
                <w:kern w:val="0"/>
                <w:sz w:val="22"/>
                <w:szCs w:val="22"/>
              </w:rPr>
            </w:pPr>
            <w:r>
              <w:rPr>
                <w:b/>
                <w:color w:val="000000"/>
                <w:kern w:val="0"/>
                <w:sz w:val="22"/>
                <w:szCs w:val="22"/>
              </w:rPr>
              <w:t>序号</w:t>
            </w:r>
          </w:p>
        </w:tc>
        <w:tc>
          <w:tcPr>
            <w:tcW w:w="814" w:type="pct"/>
            <w:gridSpan w:val="3"/>
            <w:noWrap w:val="0"/>
            <w:vAlign w:val="center"/>
          </w:tcPr>
          <w:p>
            <w:pPr>
              <w:widowControl/>
              <w:ind w:firstLine="0" w:firstLineChars="0"/>
              <w:jc w:val="center"/>
              <w:rPr>
                <w:b/>
                <w:color w:val="000000"/>
                <w:kern w:val="0"/>
                <w:sz w:val="22"/>
                <w:szCs w:val="22"/>
              </w:rPr>
            </w:pPr>
            <w:r>
              <w:rPr>
                <w:b/>
                <w:color w:val="000000"/>
                <w:kern w:val="0"/>
                <w:sz w:val="22"/>
                <w:szCs w:val="22"/>
              </w:rPr>
              <w:t>条款号</w:t>
            </w:r>
          </w:p>
        </w:tc>
        <w:tc>
          <w:tcPr>
            <w:tcW w:w="1877" w:type="pct"/>
            <w:gridSpan w:val="3"/>
            <w:noWrap w:val="0"/>
            <w:vAlign w:val="center"/>
          </w:tcPr>
          <w:p>
            <w:pPr>
              <w:widowControl/>
              <w:ind w:firstLine="0" w:firstLineChars="0"/>
              <w:jc w:val="center"/>
              <w:rPr>
                <w:b/>
                <w:color w:val="000000"/>
                <w:kern w:val="0"/>
                <w:sz w:val="22"/>
                <w:szCs w:val="22"/>
              </w:rPr>
            </w:pPr>
            <w:r>
              <w:rPr>
                <w:b/>
                <w:color w:val="000000"/>
                <w:kern w:val="0"/>
                <w:sz w:val="22"/>
                <w:szCs w:val="22"/>
              </w:rPr>
              <w:t>强制性条文内容</w:t>
            </w:r>
          </w:p>
        </w:tc>
        <w:tc>
          <w:tcPr>
            <w:tcW w:w="1047" w:type="pct"/>
            <w:noWrap w:val="0"/>
            <w:vAlign w:val="center"/>
          </w:tcPr>
          <w:p>
            <w:pPr>
              <w:widowControl/>
              <w:ind w:firstLine="0" w:firstLineChars="0"/>
              <w:jc w:val="center"/>
              <w:rPr>
                <w:b/>
                <w:color w:val="000000"/>
                <w:kern w:val="0"/>
                <w:sz w:val="22"/>
                <w:szCs w:val="22"/>
              </w:rPr>
            </w:pPr>
            <w:r>
              <w:rPr>
                <w:b/>
                <w:color w:val="000000"/>
                <w:kern w:val="0"/>
                <w:sz w:val="22"/>
                <w:szCs w:val="22"/>
              </w:rPr>
              <w:t>执行情况</w:t>
            </w:r>
          </w:p>
        </w:tc>
        <w:tc>
          <w:tcPr>
            <w:tcW w:w="781" w:type="pct"/>
            <w:gridSpan w:val="2"/>
            <w:noWrap w:val="0"/>
            <w:vAlign w:val="center"/>
          </w:tcPr>
          <w:p>
            <w:pPr>
              <w:widowControl/>
              <w:ind w:firstLine="0" w:firstLineChars="0"/>
              <w:jc w:val="center"/>
              <w:rPr>
                <w:b/>
                <w:color w:val="000000"/>
                <w:kern w:val="0"/>
                <w:sz w:val="22"/>
                <w:szCs w:val="22"/>
              </w:rPr>
            </w:pPr>
            <w:r>
              <w:rPr>
                <w:b/>
                <w:color w:val="000000"/>
                <w:kern w:val="0"/>
                <w:sz w:val="22"/>
                <w:szCs w:val="22"/>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bCs/>
                <w:color w:val="000000"/>
                <w:kern w:val="0"/>
                <w:sz w:val="22"/>
                <w:szCs w:val="22"/>
              </w:rPr>
              <w:t>1</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3.2.7</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 xml:space="preserve"> 沿挡土墙基底面的抗滑稳定安全系数不应小于表3.2.7规定的允许值。</w:t>
            </w:r>
          </w:p>
        </w:tc>
        <w:tc>
          <w:tcPr>
            <w:tcW w:w="1047" w:type="pct"/>
            <w:noWrap w:val="0"/>
            <w:vAlign w:val="center"/>
          </w:tcPr>
          <w:p>
            <w:pPr>
              <w:spacing w:line="240" w:lineRule="auto"/>
              <w:ind w:firstLine="440"/>
              <w:jc w:val="left"/>
              <w:rPr>
                <w:bCs/>
                <w:color w:val="000000"/>
                <w:kern w:val="0"/>
                <w:sz w:val="22"/>
                <w:szCs w:val="22"/>
              </w:rPr>
            </w:pPr>
            <w:r>
              <w:rPr>
                <w:bCs/>
                <w:color w:val="000000"/>
                <w:kern w:val="0"/>
                <w:sz w:val="22"/>
                <w:szCs w:val="22"/>
              </w:rPr>
              <w:t>本工程挡土墙抗滑稳定安全系数</w:t>
            </w:r>
            <w:r>
              <w:rPr>
                <w:rFonts w:hint="eastAsia"/>
                <w:bCs/>
                <w:color w:val="000000"/>
                <w:kern w:val="0"/>
                <w:sz w:val="22"/>
                <w:szCs w:val="22"/>
              </w:rPr>
              <w:t>大于1.2。</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rFonts w:hint="eastAsia"/>
                <w:bCs/>
                <w:color w:val="000000"/>
                <w:kern w:val="0"/>
                <w:sz w:val="22"/>
                <w:szCs w:val="22"/>
              </w:rPr>
              <w:t>2</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3.2.12</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 xml:space="preserve"> 土质地基上挡土墙的抗倾覆稳定安全系数不应小于表3.2.12规定的允许值。</w:t>
            </w:r>
          </w:p>
        </w:tc>
        <w:tc>
          <w:tcPr>
            <w:tcW w:w="1047" w:type="pct"/>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本工程挡土墙抗倾覆稳定安全系数</w:t>
            </w:r>
            <w:r>
              <w:rPr>
                <w:rFonts w:hint="eastAsia"/>
                <w:bCs/>
                <w:color w:val="000000"/>
                <w:kern w:val="0"/>
                <w:sz w:val="22"/>
                <w:szCs w:val="22"/>
              </w:rPr>
              <w:t>大于1.4.</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9" w:type="pct"/>
            <w:noWrap w:val="0"/>
            <w:vAlign w:val="center"/>
          </w:tcPr>
          <w:p>
            <w:pPr>
              <w:widowControl/>
              <w:ind w:firstLine="0" w:firstLineChars="0"/>
              <w:jc w:val="center"/>
              <w:rPr>
                <w:bCs/>
                <w:color w:val="000000"/>
                <w:kern w:val="0"/>
                <w:sz w:val="22"/>
                <w:szCs w:val="22"/>
              </w:rPr>
            </w:pPr>
            <w:r>
              <w:rPr>
                <w:rFonts w:hint="eastAsia"/>
                <w:bCs/>
                <w:color w:val="000000"/>
                <w:kern w:val="0"/>
                <w:sz w:val="22"/>
                <w:szCs w:val="22"/>
              </w:rPr>
              <w:t>3</w:t>
            </w:r>
          </w:p>
        </w:tc>
        <w:tc>
          <w:tcPr>
            <w:tcW w:w="814" w:type="pct"/>
            <w:gridSpan w:val="3"/>
            <w:noWrap w:val="0"/>
            <w:vAlign w:val="center"/>
          </w:tcPr>
          <w:p>
            <w:pPr>
              <w:widowControl/>
              <w:ind w:firstLine="0" w:firstLineChars="0"/>
              <w:jc w:val="center"/>
              <w:rPr>
                <w:bCs/>
                <w:color w:val="000000"/>
                <w:kern w:val="0"/>
                <w:sz w:val="22"/>
                <w:szCs w:val="22"/>
              </w:rPr>
            </w:pPr>
            <w:r>
              <w:rPr>
                <w:bCs/>
                <w:color w:val="000000"/>
                <w:kern w:val="0"/>
                <w:sz w:val="22"/>
                <w:szCs w:val="22"/>
              </w:rPr>
              <w:t>6.3.1</w:t>
            </w:r>
          </w:p>
        </w:tc>
        <w:tc>
          <w:tcPr>
            <w:tcW w:w="1877" w:type="pct"/>
            <w:gridSpan w:val="3"/>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土质地基和软质岩石地基上的挡土墙基底应力计算应满足下列要求：</w:t>
            </w:r>
          </w:p>
          <w:p>
            <w:pPr>
              <w:widowControl/>
              <w:spacing w:line="240" w:lineRule="auto"/>
              <w:ind w:firstLine="0" w:firstLineChars="0"/>
              <w:jc w:val="left"/>
              <w:rPr>
                <w:bCs/>
                <w:color w:val="000000"/>
                <w:kern w:val="0"/>
                <w:sz w:val="22"/>
                <w:szCs w:val="22"/>
              </w:rPr>
            </w:pPr>
            <w:r>
              <w:rPr>
                <w:bCs/>
                <w:color w:val="000000"/>
                <w:kern w:val="0"/>
                <w:sz w:val="22"/>
                <w:szCs w:val="22"/>
              </w:rPr>
              <w:t>1、在各种计算情况下，挡土墙平均基底应力不大于地基允许承载力，最大基底应力不大于地基允许承载力的1.2倍；</w:t>
            </w:r>
            <w:r>
              <w:rPr>
                <w:bCs/>
                <w:color w:val="000000"/>
                <w:kern w:val="0"/>
                <w:sz w:val="22"/>
                <w:szCs w:val="22"/>
              </w:rPr>
              <w:br w:type="textWrapping"/>
            </w:r>
            <w:r>
              <w:rPr>
                <w:bCs/>
                <w:color w:val="000000"/>
                <w:kern w:val="0"/>
                <w:sz w:val="22"/>
                <w:szCs w:val="22"/>
              </w:rPr>
              <w:t>2、挡土墙基底应力的最大值与最小值之比不大于表6.3.1规定的允许值。</w:t>
            </w:r>
          </w:p>
        </w:tc>
        <w:tc>
          <w:tcPr>
            <w:tcW w:w="1047" w:type="pct"/>
            <w:noWrap w:val="0"/>
            <w:vAlign w:val="center"/>
          </w:tcPr>
          <w:p>
            <w:pPr>
              <w:widowControl/>
              <w:spacing w:line="240" w:lineRule="auto"/>
              <w:ind w:firstLine="0" w:firstLineChars="0"/>
              <w:jc w:val="left"/>
              <w:rPr>
                <w:bCs/>
                <w:color w:val="000000"/>
                <w:kern w:val="0"/>
                <w:sz w:val="22"/>
                <w:szCs w:val="22"/>
              </w:rPr>
            </w:pPr>
            <w:r>
              <w:rPr>
                <w:bCs/>
                <w:color w:val="000000"/>
                <w:kern w:val="0"/>
                <w:sz w:val="22"/>
                <w:szCs w:val="22"/>
              </w:rPr>
              <w:t>本工程挡土墙基底应力最大值与最小值之比为</w:t>
            </w:r>
            <w:r>
              <w:rPr>
                <w:rFonts w:hint="eastAsia"/>
                <w:bCs/>
                <w:color w:val="000000"/>
                <w:kern w:val="0"/>
                <w:sz w:val="22"/>
                <w:szCs w:val="22"/>
              </w:rPr>
              <w:t>小于1.5。</w:t>
            </w:r>
          </w:p>
        </w:tc>
        <w:tc>
          <w:tcPr>
            <w:tcW w:w="781" w:type="pct"/>
            <w:gridSpan w:val="2"/>
            <w:noWrap w:val="0"/>
            <w:vAlign w:val="center"/>
          </w:tcPr>
          <w:p>
            <w:pPr>
              <w:widowControl/>
              <w:ind w:firstLine="0" w:firstLineChars="0"/>
              <w:jc w:val="center"/>
              <w:rPr>
                <w:bCs/>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93" w:type="pct"/>
            <w:gridSpan w:val="4"/>
            <w:noWrap w:val="0"/>
            <w:vAlign w:val="center"/>
          </w:tcPr>
          <w:p>
            <w:pPr>
              <w:widowControl/>
              <w:ind w:firstLine="0" w:firstLineChars="0"/>
              <w:jc w:val="center"/>
              <w:rPr>
                <w:b/>
                <w:color w:val="000000"/>
                <w:kern w:val="0"/>
                <w:sz w:val="22"/>
                <w:szCs w:val="22"/>
              </w:rPr>
            </w:pPr>
            <w:r>
              <w:rPr>
                <w:b/>
                <w:color w:val="000000"/>
                <w:kern w:val="0"/>
                <w:sz w:val="22"/>
                <w:szCs w:val="22"/>
              </w:rPr>
              <w:t>标准名称</w:t>
            </w:r>
            <w:r>
              <w:rPr>
                <w:rFonts w:hint="eastAsia"/>
                <w:b/>
                <w:color w:val="000000"/>
                <w:kern w:val="0"/>
                <w:sz w:val="22"/>
                <w:szCs w:val="22"/>
              </w:rPr>
              <w:t>3</w:t>
            </w:r>
          </w:p>
          <w:p>
            <w:pPr>
              <w:widowControl/>
              <w:ind w:firstLine="0" w:firstLineChars="0"/>
              <w:jc w:val="center"/>
              <w:rPr>
                <w:b/>
                <w:color w:val="000000"/>
                <w:kern w:val="0"/>
                <w:sz w:val="22"/>
                <w:szCs w:val="22"/>
              </w:rPr>
            </w:pPr>
            <w:r>
              <w:rPr>
                <w:b/>
                <w:color w:val="000000"/>
                <w:kern w:val="0"/>
                <w:sz w:val="22"/>
                <w:szCs w:val="22"/>
              </w:rPr>
              <w:t>《灌溉与排水工程设计标准》GB50288-2018</w:t>
            </w:r>
          </w:p>
        </w:tc>
        <w:tc>
          <w:tcPr>
            <w:tcW w:w="3706" w:type="pct"/>
            <w:gridSpan w:val="6"/>
            <w:noWrap w:val="0"/>
            <w:vAlign w:val="center"/>
          </w:tcPr>
          <w:p>
            <w:pPr>
              <w:widowControl/>
              <w:ind w:firstLine="0" w:firstLineChars="0"/>
              <w:jc w:val="center"/>
              <w:rPr>
                <w:b/>
                <w:color w:val="000000"/>
                <w:kern w:val="0"/>
                <w:sz w:val="22"/>
                <w:szCs w:val="22"/>
              </w:rPr>
            </w:pPr>
            <w:r>
              <w:rPr>
                <w:rFonts w:hint="eastAsia"/>
                <w:b/>
                <w:color w:val="000000"/>
                <w:kern w:val="0"/>
                <w:sz w:val="22"/>
                <w:szCs w:val="22"/>
              </w:rPr>
              <w:t>《水工建筑物抗震设计标准》（GB</w:t>
            </w:r>
            <w:r>
              <w:rPr>
                <w:b/>
                <w:color w:val="000000"/>
                <w:kern w:val="0"/>
                <w:sz w:val="22"/>
                <w:szCs w:val="22"/>
              </w:rPr>
              <w:t xml:space="preserve"> </w:t>
            </w:r>
            <w:r>
              <w:rPr>
                <w:rFonts w:hint="eastAsia"/>
                <w:b/>
                <w:color w:val="000000"/>
                <w:kern w:val="0"/>
                <w:sz w:val="22"/>
                <w:szCs w:val="22"/>
              </w:rPr>
              <w:t>51247-2018）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95" w:type="pct"/>
            <w:gridSpan w:val="2"/>
            <w:noWrap w:val="0"/>
            <w:vAlign w:val="center"/>
          </w:tcPr>
          <w:p>
            <w:pPr>
              <w:widowControl/>
              <w:ind w:firstLine="0" w:firstLineChars="0"/>
              <w:jc w:val="center"/>
              <w:rPr>
                <w:b/>
                <w:color w:val="000000"/>
                <w:kern w:val="0"/>
                <w:sz w:val="22"/>
                <w:szCs w:val="22"/>
              </w:rPr>
            </w:pPr>
            <w:r>
              <w:rPr>
                <w:b/>
                <w:color w:val="000000"/>
                <w:kern w:val="0"/>
                <w:sz w:val="22"/>
                <w:szCs w:val="22"/>
              </w:rPr>
              <w:t>序号</w:t>
            </w:r>
          </w:p>
        </w:tc>
        <w:tc>
          <w:tcPr>
            <w:tcW w:w="798" w:type="pct"/>
            <w:gridSpan w:val="2"/>
            <w:noWrap w:val="0"/>
            <w:vAlign w:val="center"/>
          </w:tcPr>
          <w:p>
            <w:pPr>
              <w:widowControl/>
              <w:ind w:firstLine="0" w:firstLineChars="0"/>
              <w:jc w:val="center"/>
              <w:rPr>
                <w:b/>
                <w:color w:val="000000"/>
                <w:kern w:val="0"/>
                <w:sz w:val="22"/>
                <w:szCs w:val="22"/>
              </w:rPr>
            </w:pPr>
            <w:r>
              <w:rPr>
                <w:b/>
                <w:color w:val="000000"/>
                <w:kern w:val="0"/>
                <w:sz w:val="22"/>
                <w:szCs w:val="22"/>
              </w:rPr>
              <w:t>条款号</w:t>
            </w:r>
          </w:p>
        </w:tc>
        <w:tc>
          <w:tcPr>
            <w:tcW w:w="1870" w:type="pct"/>
            <w:noWrap w:val="0"/>
            <w:vAlign w:val="center"/>
          </w:tcPr>
          <w:p>
            <w:pPr>
              <w:widowControl/>
              <w:ind w:firstLine="0" w:firstLineChars="0"/>
              <w:jc w:val="center"/>
              <w:rPr>
                <w:b/>
                <w:color w:val="000000"/>
                <w:kern w:val="0"/>
                <w:sz w:val="22"/>
                <w:szCs w:val="22"/>
              </w:rPr>
            </w:pPr>
            <w:r>
              <w:rPr>
                <w:b/>
                <w:color w:val="000000"/>
                <w:kern w:val="0"/>
                <w:sz w:val="22"/>
                <w:szCs w:val="22"/>
              </w:rPr>
              <w:t>强制性条文内容</w:t>
            </w:r>
          </w:p>
        </w:tc>
        <w:tc>
          <w:tcPr>
            <w:tcW w:w="1058" w:type="pct"/>
            <w:gridSpan w:val="4"/>
            <w:noWrap w:val="0"/>
            <w:vAlign w:val="center"/>
          </w:tcPr>
          <w:p>
            <w:pPr>
              <w:widowControl/>
              <w:ind w:firstLine="0" w:firstLineChars="0"/>
              <w:jc w:val="center"/>
              <w:rPr>
                <w:b/>
                <w:color w:val="000000"/>
                <w:kern w:val="0"/>
                <w:sz w:val="22"/>
                <w:szCs w:val="22"/>
              </w:rPr>
            </w:pPr>
            <w:r>
              <w:rPr>
                <w:b/>
                <w:color w:val="000000"/>
                <w:kern w:val="0"/>
                <w:sz w:val="22"/>
                <w:szCs w:val="22"/>
              </w:rPr>
              <w:t>执行情况</w:t>
            </w:r>
          </w:p>
        </w:tc>
        <w:tc>
          <w:tcPr>
            <w:tcW w:w="777" w:type="pct"/>
            <w:noWrap w:val="0"/>
            <w:vAlign w:val="center"/>
          </w:tcPr>
          <w:p>
            <w:pPr>
              <w:widowControl/>
              <w:ind w:firstLine="0" w:firstLineChars="0"/>
              <w:jc w:val="center"/>
              <w:rPr>
                <w:b/>
                <w:color w:val="000000"/>
                <w:kern w:val="0"/>
                <w:sz w:val="22"/>
                <w:szCs w:val="22"/>
              </w:rPr>
            </w:pPr>
            <w:r>
              <w:rPr>
                <w:b/>
                <w:color w:val="000000"/>
                <w:kern w:val="0"/>
                <w:sz w:val="22"/>
                <w:szCs w:val="22"/>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495" w:type="pct"/>
            <w:gridSpan w:val="2"/>
            <w:noWrap w:val="0"/>
            <w:vAlign w:val="center"/>
          </w:tcPr>
          <w:p>
            <w:pPr>
              <w:widowControl/>
              <w:ind w:firstLine="0" w:firstLineChars="0"/>
              <w:jc w:val="center"/>
              <w:rPr>
                <w:b/>
                <w:color w:val="000000"/>
                <w:kern w:val="0"/>
                <w:sz w:val="22"/>
                <w:szCs w:val="22"/>
              </w:rPr>
            </w:pPr>
            <w:r>
              <w:rPr>
                <w:bCs/>
                <w:color w:val="000000"/>
                <w:kern w:val="0"/>
                <w:sz w:val="22"/>
                <w:szCs w:val="22"/>
              </w:rPr>
              <w:t>1</w:t>
            </w:r>
          </w:p>
        </w:tc>
        <w:tc>
          <w:tcPr>
            <w:tcW w:w="798" w:type="pct"/>
            <w:gridSpan w:val="2"/>
            <w:noWrap w:val="0"/>
            <w:vAlign w:val="center"/>
          </w:tcPr>
          <w:p>
            <w:pPr>
              <w:widowControl/>
              <w:ind w:firstLine="0" w:firstLineChars="0"/>
              <w:jc w:val="center"/>
              <w:rPr>
                <w:b/>
                <w:color w:val="000000"/>
                <w:kern w:val="0"/>
                <w:sz w:val="22"/>
                <w:szCs w:val="22"/>
              </w:rPr>
            </w:pPr>
            <w:r>
              <w:rPr>
                <w:rFonts w:hint="eastAsia"/>
              </w:rPr>
              <w:t>3.0.1</w:t>
            </w:r>
          </w:p>
        </w:tc>
        <w:tc>
          <w:tcPr>
            <w:tcW w:w="1870" w:type="pct"/>
            <w:noWrap w:val="0"/>
            <w:vAlign w:val="center"/>
          </w:tcPr>
          <w:p>
            <w:pPr>
              <w:widowControl/>
              <w:spacing w:line="240" w:lineRule="auto"/>
              <w:ind w:firstLine="0" w:firstLineChars="0"/>
              <w:jc w:val="center"/>
              <w:rPr>
                <w:b/>
                <w:color w:val="000000"/>
                <w:kern w:val="0"/>
                <w:sz w:val="22"/>
                <w:szCs w:val="22"/>
              </w:rPr>
            </w:pPr>
            <w:r>
              <w:rPr>
                <w:rFonts w:hint="eastAsia"/>
                <w:bCs/>
                <w:color w:val="000000"/>
                <w:kern w:val="0"/>
                <w:sz w:val="22"/>
                <w:szCs w:val="22"/>
              </w:rPr>
              <w:t>水工建筑物应根据其重要性和工程场地地震基本烈度按表3.0.1确定其工程抗震设防类别。</w:t>
            </w:r>
          </w:p>
        </w:tc>
        <w:tc>
          <w:tcPr>
            <w:tcW w:w="1058" w:type="pct"/>
            <w:gridSpan w:val="4"/>
            <w:noWrap w:val="0"/>
            <w:vAlign w:val="center"/>
          </w:tcPr>
          <w:p>
            <w:pPr>
              <w:widowControl/>
              <w:spacing w:line="240" w:lineRule="auto"/>
              <w:ind w:firstLine="0" w:firstLineChars="0"/>
              <w:jc w:val="center"/>
              <w:rPr>
                <w:b/>
                <w:color w:val="000000"/>
                <w:kern w:val="0"/>
                <w:sz w:val="22"/>
                <w:szCs w:val="22"/>
              </w:rPr>
            </w:pPr>
            <w:r>
              <w:rPr>
                <w:rFonts w:hint="eastAsia"/>
                <w:bCs/>
                <w:color w:val="000000"/>
                <w:kern w:val="0"/>
                <w:sz w:val="22"/>
                <w:szCs w:val="22"/>
              </w:rPr>
              <w:t>本工程工程所在地震设防烈度为Ⅶ度，建筑物为</w:t>
            </w:r>
            <w:r>
              <w:rPr>
                <w:rFonts w:hint="eastAsia"/>
                <w:bCs/>
                <w:color w:val="000000"/>
                <w:kern w:val="0"/>
                <w:sz w:val="22"/>
                <w:szCs w:val="22"/>
                <w:lang w:val="en-US" w:eastAsia="zh-CN"/>
              </w:rPr>
              <w:t>IV</w:t>
            </w:r>
            <w:r>
              <w:rPr>
                <w:rFonts w:hint="eastAsia"/>
                <w:bCs/>
                <w:color w:val="000000"/>
                <w:kern w:val="0"/>
                <w:sz w:val="22"/>
                <w:szCs w:val="22"/>
              </w:rPr>
              <w:t>级（非雍水）建筑物，相应抗震设防类别为</w:t>
            </w:r>
            <w:r>
              <w:rPr>
                <w:rFonts w:hint="eastAsia"/>
                <w:bCs/>
                <w:color w:val="000000"/>
                <w:kern w:val="0"/>
                <w:sz w:val="22"/>
                <w:szCs w:val="22"/>
                <w:lang w:val="en-US" w:eastAsia="zh-CN"/>
              </w:rPr>
              <w:t>丁</w:t>
            </w:r>
            <w:r>
              <w:rPr>
                <w:rFonts w:hint="eastAsia"/>
                <w:bCs/>
                <w:color w:val="000000"/>
                <w:kern w:val="0"/>
                <w:sz w:val="22"/>
                <w:szCs w:val="22"/>
              </w:rPr>
              <w:t>类</w:t>
            </w:r>
          </w:p>
        </w:tc>
        <w:tc>
          <w:tcPr>
            <w:tcW w:w="777" w:type="pct"/>
            <w:noWrap w:val="0"/>
            <w:vAlign w:val="center"/>
          </w:tcPr>
          <w:p>
            <w:pPr>
              <w:widowControl/>
              <w:ind w:firstLine="0" w:firstLineChars="0"/>
              <w:jc w:val="center"/>
              <w:rPr>
                <w:b/>
                <w:color w:val="000000"/>
                <w:kern w:val="0"/>
                <w:sz w:val="22"/>
                <w:szCs w:val="22"/>
              </w:rPr>
            </w:pPr>
            <w:r>
              <w:rPr>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10"/>
            <w:noWrap w:val="0"/>
            <w:vAlign w:val="center"/>
          </w:tcPr>
          <w:p>
            <w:pPr>
              <w:widowControl/>
              <w:ind w:firstLine="0" w:firstLineChars="0"/>
              <w:jc w:val="center"/>
              <w:rPr>
                <w:b/>
                <w:color w:val="000000"/>
                <w:kern w:val="0"/>
                <w:sz w:val="22"/>
                <w:szCs w:val="22"/>
              </w:rPr>
            </w:pPr>
            <w:r>
              <w:rPr>
                <w:rFonts w:hint="eastAsia"/>
                <w:b/>
                <w:color w:val="000000"/>
                <w:kern w:val="0"/>
                <w:sz w:val="22"/>
                <w:szCs w:val="22"/>
              </w:rPr>
              <w:t>环境保护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5" w:type="pct"/>
            <w:gridSpan w:val="2"/>
            <w:noWrap w:val="0"/>
            <w:vAlign w:val="center"/>
          </w:tcPr>
          <w:p>
            <w:pPr>
              <w:widowControl/>
              <w:spacing w:line="240" w:lineRule="auto"/>
              <w:ind w:firstLine="0" w:firstLineChars="0"/>
              <w:jc w:val="center"/>
              <w:rPr>
                <w:sz w:val="21"/>
                <w:szCs w:val="21"/>
              </w:rPr>
            </w:pPr>
            <w:r>
              <w:rPr>
                <w:rFonts w:hint="eastAsia"/>
                <w:b/>
                <w:color w:val="000000"/>
                <w:kern w:val="0"/>
                <w:sz w:val="22"/>
                <w:szCs w:val="22"/>
              </w:rPr>
              <w:t>标准名称1</w:t>
            </w:r>
          </w:p>
        </w:tc>
        <w:tc>
          <w:tcPr>
            <w:tcW w:w="4504" w:type="pct"/>
            <w:gridSpan w:val="8"/>
            <w:noWrap w:val="0"/>
            <w:vAlign w:val="center"/>
          </w:tcPr>
          <w:p>
            <w:pPr>
              <w:widowControl/>
              <w:spacing w:line="240" w:lineRule="auto"/>
              <w:ind w:firstLine="0" w:firstLineChars="0"/>
              <w:jc w:val="center"/>
              <w:rPr>
                <w:bCs/>
                <w:color w:val="000000"/>
                <w:kern w:val="0"/>
                <w:sz w:val="22"/>
                <w:szCs w:val="22"/>
              </w:rPr>
            </w:pPr>
            <w:r>
              <w:rPr>
                <w:rFonts w:hint="eastAsia"/>
                <w:b/>
                <w:bCs/>
                <w:sz w:val="21"/>
                <w:szCs w:val="21"/>
              </w:rPr>
              <w:t>《环境影响评价技术导则 水利水电工程》</w:t>
            </w:r>
            <w:r>
              <w:rPr>
                <w:b/>
                <w:bCs/>
                <w:sz w:val="21"/>
                <w:szCs w:val="21"/>
              </w:rPr>
              <w:t>HJ/T 88-2003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5" w:type="pct"/>
            <w:gridSpan w:val="2"/>
            <w:noWrap w:val="0"/>
            <w:vAlign w:val="center"/>
          </w:tcPr>
          <w:p>
            <w:pPr>
              <w:widowControl/>
              <w:ind w:firstLine="0" w:firstLineChars="0"/>
              <w:jc w:val="center"/>
              <w:rPr>
                <w:b/>
                <w:color w:val="000000"/>
                <w:kern w:val="0"/>
                <w:sz w:val="22"/>
                <w:szCs w:val="22"/>
              </w:rPr>
            </w:pPr>
            <w:r>
              <w:rPr>
                <w:b/>
                <w:color w:val="000000"/>
                <w:kern w:val="0"/>
                <w:sz w:val="22"/>
                <w:szCs w:val="22"/>
              </w:rPr>
              <w:t>序号</w:t>
            </w:r>
          </w:p>
        </w:tc>
        <w:tc>
          <w:tcPr>
            <w:tcW w:w="340" w:type="pct"/>
            <w:noWrap w:val="0"/>
            <w:vAlign w:val="center"/>
          </w:tcPr>
          <w:p>
            <w:pPr>
              <w:widowControl/>
              <w:ind w:firstLine="0" w:firstLineChars="0"/>
              <w:jc w:val="center"/>
              <w:rPr>
                <w:sz w:val="21"/>
                <w:szCs w:val="21"/>
              </w:rPr>
            </w:pPr>
            <w:r>
              <w:rPr>
                <w:b/>
                <w:color w:val="000000"/>
                <w:kern w:val="0"/>
                <w:sz w:val="22"/>
                <w:szCs w:val="22"/>
              </w:rPr>
              <w:t>条款号</w:t>
            </w:r>
          </w:p>
        </w:tc>
        <w:tc>
          <w:tcPr>
            <w:tcW w:w="2333" w:type="pct"/>
            <w:gridSpan w:val="3"/>
            <w:noWrap w:val="0"/>
            <w:vAlign w:val="center"/>
          </w:tcPr>
          <w:p>
            <w:pPr>
              <w:widowControl/>
              <w:ind w:firstLine="0" w:firstLineChars="0"/>
              <w:jc w:val="left"/>
              <w:rPr>
                <w:bCs/>
                <w:color w:val="000000"/>
                <w:kern w:val="0"/>
                <w:sz w:val="22"/>
                <w:szCs w:val="22"/>
              </w:rPr>
            </w:pPr>
            <w:r>
              <w:rPr>
                <w:b/>
                <w:color w:val="000000"/>
                <w:kern w:val="0"/>
                <w:sz w:val="22"/>
                <w:szCs w:val="22"/>
              </w:rPr>
              <w:t>强制性条文内容</w:t>
            </w:r>
          </w:p>
        </w:tc>
        <w:tc>
          <w:tcPr>
            <w:tcW w:w="1053" w:type="pct"/>
            <w:gridSpan w:val="3"/>
            <w:noWrap w:val="0"/>
            <w:vAlign w:val="center"/>
          </w:tcPr>
          <w:p>
            <w:pPr>
              <w:widowControl/>
              <w:ind w:firstLine="0" w:firstLineChars="0"/>
              <w:jc w:val="center"/>
              <w:rPr>
                <w:sz w:val="21"/>
                <w:szCs w:val="21"/>
              </w:rPr>
            </w:pPr>
            <w:r>
              <w:rPr>
                <w:b/>
                <w:color w:val="000000"/>
                <w:kern w:val="0"/>
                <w:sz w:val="22"/>
                <w:szCs w:val="22"/>
              </w:rPr>
              <w:t>执行情况</w:t>
            </w:r>
          </w:p>
        </w:tc>
        <w:tc>
          <w:tcPr>
            <w:tcW w:w="777" w:type="pct"/>
            <w:noWrap w:val="0"/>
            <w:vAlign w:val="center"/>
          </w:tcPr>
          <w:p>
            <w:pPr>
              <w:widowControl/>
              <w:ind w:firstLine="0" w:firstLineChars="0"/>
              <w:jc w:val="center"/>
              <w:rPr>
                <w:bCs/>
                <w:color w:val="000000"/>
                <w:kern w:val="0"/>
                <w:sz w:val="22"/>
                <w:szCs w:val="22"/>
              </w:rPr>
            </w:pPr>
            <w:r>
              <w:rPr>
                <w:b/>
                <w:color w:val="000000"/>
                <w:kern w:val="0"/>
                <w:sz w:val="22"/>
                <w:szCs w:val="22"/>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5" w:type="pct"/>
            <w:gridSpan w:val="2"/>
            <w:noWrap w:val="0"/>
            <w:vAlign w:val="center"/>
          </w:tcPr>
          <w:p>
            <w:pPr>
              <w:widowControl/>
              <w:ind w:firstLine="0" w:firstLineChars="0"/>
              <w:jc w:val="center"/>
              <w:rPr>
                <w:b/>
                <w:color w:val="000000"/>
                <w:kern w:val="0"/>
                <w:sz w:val="22"/>
                <w:szCs w:val="22"/>
              </w:rPr>
            </w:pPr>
            <w:r>
              <w:rPr>
                <w:rFonts w:hint="eastAsia"/>
                <w:b/>
                <w:color w:val="000000"/>
                <w:kern w:val="0"/>
                <w:sz w:val="22"/>
                <w:szCs w:val="22"/>
              </w:rPr>
              <w:t>1</w:t>
            </w:r>
          </w:p>
        </w:tc>
        <w:tc>
          <w:tcPr>
            <w:tcW w:w="340" w:type="pct"/>
            <w:noWrap w:val="0"/>
            <w:vAlign w:val="center"/>
          </w:tcPr>
          <w:p>
            <w:pPr>
              <w:widowControl/>
              <w:ind w:firstLine="0" w:firstLineChars="0"/>
              <w:jc w:val="center"/>
              <w:rPr>
                <w:sz w:val="21"/>
                <w:szCs w:val="21"/>
              </w:rPr>
            </w:pPr>
            <w:r>
              <w:rPr>
                <w:rFonts w:hint="eastAsia"/>
                <w:sz w:val="21"/>
                <w:szCs w:val="21"/>
              </w:rPr>
              <w:t>6.2.5</w:t>
            </w:r>
          </w:p>
        </w:tc>
        <w:tc>
          <w:tcPr>
            <w:tcW w:w="2333" w:type="pct"/>
            <w:gridSpan w:val="3"/>
            <w:noWrap w:val="0"/>
            <w:vAlign w:val="center"/>
          </w:tcPr>
          <w:p>
            <w:pPr>
              <w:widowControl/>
              <w:spacing w:line="240" w:lineRule="auto"/>
              <w:ind w:firstLine="0" w:firstLineChars="0"/>
              <w:jc w:val="left"/>
              <w:rPr>
                <w:bCs/>
                <w:color w:val="000000"/>
                <w:kern w:val="0"/>
                <w:sz w:val="22"/>
                <w:szCs w:val="22"/>
              </w:rPr>
            </w:pPr>
            <w:r>
              <w:rPr>
                <w:rFonts w:hint="eastAsia"/>
                <w:bCs/>
                <w:color w:val="000000"/>
                <w:kern w:val="0"/>
                <w:sz w:val="22"/>
                <w:szCs w:val="22"/>
              </w:rPr>
              <w:t>工程建设造成水土流失应采取工程、植物和管理措施，保护水土资源。</w:t>
            </w:r>
          </w:p>
        </w:tc>
        <w:tc>
          <w:tcPr>
            <w:tcW w:w="1053" w:type="pct"/>
            <w:gridSpan w:val="3"/>
            <w:noWrap w:val="0"/>
            <w:vAlign w:val="center"/>
          </w:tcPr>
          <w:p>
            <w:pPr>
              <w:widowControl/>
              <w:spacing w:line="240" w:lineRule="auto"/>
              <w:ind w:firstLine="0" w:firstLineChars="0"/>
              <w:jc w:val="center"/>
              <w:rPr>
                <w:bCs/>
                <w:color w:val="000000"/>
                <w:kern w:val="0"/>
                <w:sz w:val="22"/>
                <w:szCs w:val="22"/>
              </w:rPr>
            </w:pPr>
            <w:r>
              <w:rPr>
                <w:rFonts w:hint="eastAsia"/>
                <w:bCs/>
                <w:color w:val="000000"/>
                <w:kern w:val="0"/>
                <w:sz w:val="22"/>
                <w:szCs w:val="22"/>
              </w:rPr>
              <w:t>本工程</w:t>
            </w:r>
            <w:r>
              <w:rPr>
                <w:rFonts w:hint="eastAsia"/>
                <w:bCs/>
                <w:color w:val="000000"/>
                <w:kern w:val="0"/>
                <w:sz w:val="22"/>
                <w:szCs w:val="22"/>
                <w:lang w:val="en-US" w:eastAsia="zh-CN"/>
              </w:rPr>
              <w:t>坡顶</w:t>
            </w:r>
            <w:r>
              <w:rPr>
                <w:rFonts w:hint="eastAsia"/>
                <w:bCs/>
                <w:color w:val="000000"/>
                <w:kern w:val="0"/>
                <w:sz w:val="22"/>
                <w:szCs w:val="22"/>
              </w:rPr>
              <w:t>裸露部分全部播撒草籽防护。</w:t>
            </w:r>
          </w:p>
        </w:tc>
        <w:tc>
          <w:tcPr>
            <w:tcW w:w="777" w:type="pct"/>
            <w:noWrap w:val="0"/>
            <w:vAlign w:val="center"/>
          </w:tcPr>
          <w:p>
            <w:pPr>
              <w:widowControl/>
              <w:ind w:firstLine="0" w:firstLineChars="0"/>
              <w:jc w:val="center"/>
              <w:rPr>
                <w:bCs/>
                <w:color w:val="000000"/>
                <w:kern w:val="0"/>
                <w:sz w:val="22"/>
                <w:szCs w:val="22"/>
              </w:rPr>
            </w:pPr>
            <w:r>
              <w:rPr>
                <w:rFonts w:hint="eastAsia"/>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10"/>
            <w:noWrap w:val="0"/>
            <w:vAlign w:val="center"/>
          </w:tcPr>
          <w:p>
            <w:pPr>
              <w:widowControl/>
              <w:ind w:firstLine="0" w:firstLineChars="0"/>
              <w:jc w:val="center"/>
              <w:rPr>
                <w:b/>
                <w:color w:val="000000"/>
                <w:kern w:val="0"/>
                <w:sz w:val="22"/>
                <w:szCs w:val="22"/>
              </w:rPr>
            </w:pPr>
            <w:r>
              <w:rPr>
                <w:rFonts w:hint="eastAsia"/>
                <w:b/>
                <w:color w:val="000000"/>
                <w:kern w:val="0"/>
                <w:sz w:val="22"/>
                <w:szCs w:val="22"/>
              </w:rPr>
              <w:t>水土保持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495" w:type="pct"/>
            <w:gridSpan w:val="2"/>
            <w:noWrap w:val="0"/>
            <w:vAlign w:val="center"/>
          </w:tcPr>
          <w:p>
            <w:pPr>
              <w:widowControl/>
              <w:spacing w:line="240" w:lineRule="auto"/>
              <w:ind w:firstLine="0" w:firstLineChars="0"/>
              <w:jc w:val="center"/>
              <w:rPr>
                <w:sz w:val="21"/>
                <w:szCs w:val="21"/>
              </w:rPr>
            </w:pPr>
            <w:r>
              <w:rPr>
                <w:rFonts w:hint="eastAsia"/>
                <w:b/>
                <w:color w:val="000000"/>
                <w:kern w:val="0"/>
                <w:sz w:val="22"/>
                <w:szCs w:val="22"/>
              </w:rPr>
              <w:t>标准名称1</w:t>
            </w:r>
          </w:p>
        </w:tc>
        <w:tc>
          <w:tcPr>
            <w:tcW w:w="4504" w:type="pct"/>
            <w:gridSpan w:val="8"/>
            <w:noWrap w:val="0"/>
            <w:vAlign w:val="center"/>
          </w:tcPr>
          <w:p>
            <w:pPr>
              <w:widowControl/>
              <w:spacing w:line="240" w:lineRule="auto"/>
              <w:ind w:firstLine="0" w:firstLineChars="0"/>
              <w:jc w:val="center"/>
              <w:rPr>
                <w:bCs/>
                <w:color w:val="000000"/>
                <w:kern w:val="0"/>
                <w:sz w:val="22"/>
                <w:szCs w:val="22"/>
              </w:rPr>
            </w:pPr>
            <w:r>
              <w:rPr>
                <w:rFonts w:hint="eastAsia"/>
                <w:b/>
                <w:bCs/>
                <w:sz w:val="21"/>
                <w:szCs w:val="21"/>
              </w:rPr>
              <w:t>《开发建设项目水土保持技术规范》</w:t>
            </w:r>
            <w:r>
              <w:rPr>
                <w:b/>
                <w:bCs/>
                <w:sz w:val="21"/>
                <w:szCs w:val="21"/>
              </w:rPr>
              <w:t>GB 50433-2008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5" w:type="pct"/>
            <w:gridSpan w:val="2"/>
            <w:noWrap w:val="0"/>
            <w:vAlign w:val="center"/>
          </w:tcPr>
          <w:p>
            <w:pPr>
              <w:widowControl/>
              <w:ind w:firstLine="0" w:firstLineChars="0"/>
              <w:jc w:val="center"/>
              <w:rPr>
                <w:b/>
                <w:color w:val="000000"/>
                <w:kern w:val="0"/>
                <w:sz w:val="22"/>
                <w:szCs w:val="22"/>
              </w:rPr>
            </w:pPr>
            <w:r>
              <w:rPr>
                <w:b/>
                <w:color w:val="000000"/>
                <w:kern w:val="0"/>
                <w:sz w:val="22"/>
                <w:szCs w:val="22"/>
              </w:rPr>
              <w:t>序号</w:t>
            </w:r>
          </w:p>
        </w:tc>
        <w:tc>
          <w:tcPr>
            <w:tcW w:w="340" w:type="pct"/>
            <w:noWrap w:val="0"/>
            <w:vAlign w:val="center"/>
          </w:tcPr>
          <w:p>
            <w:pPr>
              <w:widowControl/>
              <w:ind w:firstLine="0" w:firstLineChars="0"/>
              <w:jc w:val="center"/>
              <w:rPr>
                <w:sz w:val="21"/>
                <w:szCs w:val="21"/>
              </w:rPr>
            </w:pPr>
            <w:r>
              <w:rPr>
                <w:b/>
                <w:color w:val="000000"/>
                <w:kern w:val="0"/>
                <w:sz w:val="22"/>
                <w:szCs w:val="22"/>
              </w:rPr>
              <w:t>条款号</w:t>
            </w:r>
          </w:p>
        </w:tc>
        <w:tc>
          <w:tcPr>
            <w:tcW w:w="2333" w:type="pct"/>
            <w:gridSpan w:val="3"/>
            <w:noWrap w:val="0"/>
            <w:vAlign w:val="center"/>
          </w:tcPr>
          <w:p>
            <w:pPr>
              <w:widowControl/>
              <w:ind w:firstLine="0" w:firstLineChars="0"/>
              <w:jc w:val="left"/>
              <w:rPr>
                <w:bCs/>
                <w:color w:val="000000"/>
                <w:kern w:val="0"/>
                <w:sz w:val="22"/>
                <w:szCs w:val="22"/>
              </w:rPr>
            </w:pPr>
            <w:r>
              <w:rPr>
                <w:b/>
                <w:color w:val="000000"/>
                <w:kern w:val="0"/>
                <w:sz w:val="22"/>
                <w:szCs w:val="22"/>
              </w:rPr>
              <w:t>强制性条文内容</w:t>
            </w:r>
          </w:p>
        </w:tc>
        <w:tc>
          <w:tcPr>
            <w:tcW w:w="1053" w:type="pct"/>
            <w:gridSpan w:val="3"/>
            <w:noWrap w:val="0"/>
            <w:vAlign w:val="center"/>
          </w:tcPr>
          <w:p>
            <w:pPr>
              <w:widowControl/>
              <w:ind w:firstLine="0" w:firstLineChars="0"/>
              <w:jc w:val="center"/>
              <w:rPr>
                <w:sz w:val="21"/>
                <w:szCs w:val="21"/>
              </w:rPr>
            </w:pPr>
            <w:r>
              <w:rPr>
                <w:b/>
                <w:color w:val="000000"/>
                <w:kern w:val="0"/>
                <w:sz w:val="22"/>
                <w:szCs w:val="22"/>
              </w:rPr>
              <w:t>执行情况</w:t>
            </w:r>
          </w:p>
        </w:tc>
        <w:tc>
          <w:tcPr>
            <w:tcW w:w="777" w:type="pct"/>
            <w:noWrap w:val="0"/>
            <w:vAlign w:val="center"/>
          </w:tcPr>
          <w:p>
            <w:pPr>
              <w:widowControl/>
              <w:ind w:firstLine="0" w:firstLineChars="0"/>
              <w:jc w:val="center"/>
              <w:rPr>
                <w:bCs/>
                <w:color w:val="000000"/>
                <w:kern w:val="0"/>
                <w:sz w:val="22"/>
                <w:szCs w:val="22"/>
              </w:rPr>
            </w:pPr>
            <w:r>
              <w:rPr>
                <w:b/>
                <w:color w:val="000000"/>
                <w:kern w:val="0"/>
                <w:sz w:val="22"/>
                <w:szCs w:val="22"/>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5" w:type="pct"/>
            <w:gridSpan w:val="2"/>
            <w:noWrap w:val="0"/>
            <w:vAlign w:val="center"/>
          </w:tcPr>
          <w:p>
            <w:pPr>
              <w:widowControl/>
              <w:ind w:firstLine="0" w:firstLineChars="0"/>
              <w:jc w:val="center"/>
              <w:rPr>
                <w:b/>
                <w:color w:val="000000"/>
                <w:kern w:val="0"/>
                <w:sz w:val="22"/>
                <w:szCs w:val="22"/>
              </w:rPr>
            </w:pPr>
            <w:r>
              <w:rPr>
                <w:rFonts w:hint="eastAsia"/>
                <w:b/>
                <w:color w:val="000000"/>
                <w:kern w:val="0"/>
                <w:sz w:val="22"/>
                <w:szCs w:val="22"/>
              </w:rPr>
              <w:t>1</w:t>
            </w:r>
          </w:p>
        </w:tc>
        <w:tc>
          <w:tcPr>
            <w:tcW w:w="340" w:type="pct"/>
            <w:noWrap w:val="0"/>
            <w:vAlign w:val="center"/>
          </w:tcPr>
          <w:p>
            <w:pPr>
              <w:widowControl/>
              <w:ind w:firstLine="0" w:firstLineChars="0"/>
              <w:jc w:val="center"/>
              <w:rPr>
                <w:sz w:val="21"/>
                <w:szCs w:val="21"/>
              </w:rPr>
            </w:pPr>
            <w:r>
              <w:rPr>
                <w:rFonts w:hint="eastAsia"/>
                <w:sz w:val="21"/>
                <w:szCs w:val="21"/>
              </w:rPr>
              <w:t>3.2.2</w:t>
            </w:r>
          </w:p>
        </w:tc>
        <w:tc>
          <w:tcPr>
            <w:tcW w:w="2333" w:type="pct"/>
            <w:gridSpan w:val="3"/>
            <w:noWrap w:val="0"/>
            <w:vAlign w:val="center"/>
          </w:tcPr>
          <w:p>
            <w:pPr>
              <w:widowControl/>
              <w:spacing w:line="240" w:lineRule="auto"/>
              <w:ind w:firstLine="0" w:firstLineChars="0"/>
              <w:jc w:val="left"/>
              <w:rPr>
                <w:bCs/>
                <w:color w:val="000000"/>
                <w:kern w:val="0"/>
                <w:sz w:val="22"/>
                <w:szCs w:val="22"/>
              </w:rPr>
            </w:pPr>
            <w:r>
              <w:rPr>
                <w:rFonts w:hint="eastAsia"/>
                <w:bCs/>
                <w:color w:val="000000"/>
                <w:kern w:val="0"/>
                <w:sz w:val="22"/>
                <w:szCs w:val="22"/>
              </w:rPr>
              <w:t>严禁在县级以上人民政府划定的崩塌和滑坡危险区泥石流易发区内设置取土场</w:t>
            </w:r>
          </w:p>
        </w:tc>
        <w:tc>
          <w:tcPr>
            <w:tcW w:w="1053" w:type="pct"/>
            <w:gridSpan w:val="3"/>
            <w:noWrap w:val="0"/>
            <w:vAlign w:val="center"/>
          </w:tcPr>
          <w:p>
            <w:pPr>
              <w:widowControl/>
              <w:spacing w:line="240" w:lineRule="auto"/>
              <w:ind w:firstLine="0" w:firstLineChars="0"/>
              <w:jc w:val="center"/>
              <w:rPr>
                <w:bCs/>
                <w:color w:val="000000"/>
                <w:kern w:val="0"/>
                <w:sz w:val="22"/>
                <w:szCs w:val="22"/>
              </w:rPr>
            </w:pPr>
            <w:r>
              <w:rPr>
                <w:rFonts w:hint="eastAsia"/>
                <w:bCs/>
                <w:color w:val="000000"/>
                <w:kern w:val="0"/>
                <w:sz w:val="22"/>
                <w:szCs w:val="22"/>
              </w:rPr>
              <w:t>本工程</w:t>
            </w:r>
            <w:r>
              <w:rPr>
                <w:rFonts w:hint="eastAsia"/>
                <w:bCs/>
                <w:color w:val="000000"/>
                <w:kern w:val="0"/>
                <w:sz w:val="22"/>
                <w:szCs w:val="22"/>
                <w:lang w:val="en-US" w:eastAsia="zh-CN"/>
              </w:rPr>
              <w:t>不设置取土场</w:t>
            </w:r>
            <w:r>
              <w:rPr>
                <w:rFonts w:hint="eastAsia"/>
                <w:bCs/>
                <w:color w:val="000000"/>
                <w:kern w:val="0"/>
                <w:sz w:val="22"/>
                <w:szCs w:val="22"/>
              </w:rPr>
              <w:t>。</w:t>
            </w:r>
          </w:p>
        </w:tc>
        <w:tc>
          <w:tcPr>
            <w:tcW w:w="777" w:type="pct"/>
            <w:noWrap w:val="0"/>
            <w:vAlign w:val="center"/>
          </w:tcPr>
          <w:p>
            <w:pPr>
              <w:widowControl/>
              <w:ind w:firstLine="0" w:firstLineChars="0"/>
              <w:jc w:val="center"/>
              <w:rPr>
                <w:bCs/>
                <w:color w:val="000000"/>
                <w:kern w:val="0"/>
                <w:sz w:val="22"/>
                <w:szCs w:val="22"/>
              </w:rPr>
            </w:pPr>
            <w:r>
              <w:rPr>
                <w:rFonts w:hint="eastAsia"/>
                <w:bCs/>
                <w:color w:val="000000"/>
                <w:kern w:val="0"/>
                <w:sz w:val="22"/>
                <w:szCs w:val="22"/>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5" w:type="pct"/>
            <w:gridSpan w:val="2"/>
            <w:noWrap w:val="0"/>
            <w:vAlign w:val="center"/>
          </w:tcPr>
          <w:p>
            <w:pPr>
              <w:widowControl/>
              <w:ind w:firstLine="0" w:firstLineChars="0"/>
              <w:jc w:val="center"/>
              <w:rPr>
                <w:rFonts w:hint="eastAsia" w:eastAsia="宋体"/>
                <w:b/>
                <w:color w:val="000000"/>
                <w:kern w:val="0"/>
                <w:sz w:val="22"/>
                <w:szCs w:val="22"/>
                <w:lang w:val="en-US" w:eastAsia="zh-CN"/>
              </w:rPr>
            </w:pPr>
            <w:r>
              <w:rPr>
                <w:rFonts w:hint="eastAsia"/>
                <w:b/>
                <w:color w:val="000000"/>
                <w:kern w:val="0"/>
                <w:sz w:val="22"/>
                <w:szCs w:val="22"/>
                <w:lang w:val="en-US" w:eastAsia="zh-CN"/>
              </w:rPr>
              <w:t>2</w:t>
            </w:r>
          </w:p>
        </w:tc>
        <w:tc>
          <w:tcPr>
            <w:tcW w:w="340" w:type="pct"/>
            <w:noWrap w:val="0"/>
            <w:vAlign w:val="center"/>
          </w:tcPr>
          <w:p>
            <w:pPr>
              <w:widowControl/>
              <w:ind w:firstLine="0" w:firstLineChars="0"/>
              <w:jc w:val="center"/>
              <w:rPr>
                <w:sz w:val="21"/>
                <w:szCs w:val="21"/>
              </w:rPr>
            </w:pPr>
            <w:r>
              <w:rPr>
                <w:rFonts w:hint="eastAsia"/>
                <w:sz w:val="21"/>
                <w:szCs w:val="21"/>
              </w:rPr>
              <w:t>3.2.3</w:t>
            </w:r>
          </w:p>
        </w:tc>
        <w:tc>
          <w:tcPr>
            <w:tcW w:w="2333" w:type="pct"/>
            <w:gridSpan w:val="3"/>
            <w:noWrap w:val="0"/>
            <w:vAlign w:val="center"/>
          </w:tcPr>
          <w:p>
            <w:pPr>
              <w:widowControl/>
              <w:spacing w:line="240" w:lineRule="auto"/>
              <w:ind w:firstLine="0" w:firstLineChars="0"/>
              <w:jc w:val="left"/>
              <w:rPr>
                <w:bCs/>
                <w:color w:val="000000"/>
                <w:kern w:val="0"/>
                <w:sz w:val="22"/>
                <w:szCs w:val="22"/>
              </w:rPr>
            </w:pPr>
            <w:r>
              <w:rPr>
                <w:rFonts w:hint="eastAsia"/>
                <w:bCs/>
                <w:color w:val="000000"/>
                <w:kern w:val="0"/>
                <w:sz w:val="22"/>
                <w:szCs w:val="22"/>
              </w:rPr>
              <w:t>弃土（石、渣）场选址不得影响周边公共设施、工业企业、居民点等的安全；不得在河道、湖泊管理范围内设置弃土场；</w:t>
            </w:r>
          </w:p>
        </w:tc>
        <w:tc>
          <w:tcPr>
            <w:tcW w:w="1053" w:type="pct"/>
            <w:gridSpan w:val="3"/>
            <w:noWrap w:val="0"/>
            <w:vAlign w:val="center"/>
          </w:tcPr>
          <w:p>
            <w:pPr>
              <w:widowControl/>
              <w:spacing w:line="240" w:lineRule="auto"/>
              <w:ind w:firstLine="0" w:firstLineChars="0"/>
              <w:jc w:val="center"/>
              <w:rPr>
                <w:bCs/>
                <w:color w:val="000000"/>
                <w:kern w:val="0"/>
                <w:sz w:val="22"/>
                <w:szCs w:val="22"/>
              </w:rPr>
            </w:pPr>
            <w:r>
              <w:rPr>
                <w:rFonts w:hint="eastAsia"/>
                <w:bCs/>
                <w:color w:val="000000"/>
                <w:kern w:val="0"/>
                <w:sz w:val="22"/>
                <w:szCs w:val="22"/>
              </w:rPr>
              <w:t>本工程弃土场选址符合规范要求。</w:t>
            </w:r>
          </w:p>
        </w:tc>
        <w:tc>
          <w:tcPr>
            <w:tcW w:w="777" w:type="pct"/>
            <w:noWrap w:val="0"/>
            <w:vAlign w:val="center"/>
          </w:tcPr>
          <w:p>
            <w:pPr>
              <w:widowControl/>
              <w:ind w:firstLine="0" w:firstLineChars="0"/>
              <w:jc w:val="center"/>
              <w:rPr>
                <w:bCs/>
                <w:color w:val="000000"/>
                <w:kern w:val="0"/>
                <w:sz w:val="22"/>
                <w:szCs w:val="22"/>
              </w:rPr>
            </w:pPr>
            <w:r>
              <w:rPr>
                <w:rFonts w:hint="eastAsia"/>
                <w:bCs/>
                <w:color w:val="000000"/>
                <w:kern w:val="0"/>
                <w:sz w:val="22"/>
                <w:szCs w:val="22"/>
              </w:rPr>
              <w:t>符合</w:t>
            </w:r>
          </w:p>
        </w:tc>
      </w:tr>
    </w:tbl>
    <w:p>
      <w:pPr>
        <w:pStyle w:val="4"/>
      </w:pPr>
      <w:r>
        <w:t>7工程施工</w:t>
      </w:r>
    </w:p>
    <w:p>
      <w:pPr>
        <w:pStyle w:val="5"/>
        <w:tabs>
          <w:tab w:val="left" w:pos="0"/>
        </w:tabs>
        <w:ind w:left="0" w:leftChars="-1" w:hanging="2"/>
        <w:rPr>
          <w:rFonts w:hint="eastAsia"/>
        </w:rPr>
      </w:pPr>
      <w:r>
        <w:rPr>
          <w:rFonts w:hint="eastAsia"/>
          <w:lang w:val="en-US" w:eastAsia="zh-CN"/>
        </w:rPr>
        <w:t>7.1</w:t>
      </w:r>
      <w:r>
        <w:rPr>
          <w:rFonts w:hint="eastAsia"/>
        </w:rPr>
        <w:t>施工工期</w:t>
      </w:r>
    </w:p>
    <w:p>
      <w:pPr>
        <w:ind w:firstLine="480"/>
        <w:rPr>
          <w:sz w:val="24"/>
        </w:rPr>
      </w:pPr>
      <w:r>
        <w:rPr>
          <w:rFonts w:hint="eastAsia"/>
          <w:sz w:val="24"/>
        </w:rPr>
        <w:t>本工程计划总工期为</w:t>
      </w:r>
      <w:r>
        <w:rPr>
          <w:rFonts w:hint="eastAsia"/>
          <w:sz w:val="24"/>
          <w:lang w:val="en-US" w:eastAsia="zh-CN"/>
        </w:rPr>
        <w:t>6</w:t>
      </w:r>
      <w:r>
        <w:rPr>
          <w:rFonts w:hint="eastAsia"/>
          <w:sz w:val="24"/>
        </w:rPr>
        <w:t>个月，安排于非汛期施工。</w:t>
      </w:r>
    </w:p>
    <w:p>
      <w:pPr>
        <w:pStyle w:val="5"/>
        <w:tabs>
          <w:tab w:val="left" w:pos="0"/>
        </w:tabs>
        <w:ind w:left="0" w:leftChars="-1" w:hanging="2"/>
        <w:rPr>
          <w:rFonts w:hint="eastAsia"/>
        </w:rPr>
      </w:pPr>
      <w:r>
        <w:rPr>
          <w:rFonts w:hint="eastAsia"/>
          <w:lang w:val="en-US" w:eastAsia="zh-CN"/>
        </w:rPr>
        <w:t>7.2</w:t>
      </w:r>
      <w:r>
        <w:rPr>
          <w:rFonts w:hint="eastAsia"/>
        </w:rPr>
        <w:t>施工围堰</w:t>
      </w:r>
    </w:p>
    <w:p>
      <w:pPr>
        <w:numPr>
          <w:ilvl w:val="0"/>
          <w:numId w:val="2"/>
        </w:numPr>
        <w:ind w:firstLine="480"/>
        <w:rPr>
          <w:rFonts w:hint="eastAsia"/>
          <w:lang w:val="en-US" w:eastAsia="zh-CN"/>
        </w:rPr>
      </w:pPr>
      <w:r>
        <w:rPr>
          <w:rFonts w:hint="eastAsia"/>
          <w:lang w:val="en-US" w:eastAsia="zh-CN"/>
        </w:rPr>
        <w:t>施工导流</w:t>
      </w:r>
    </w:p>
    <w:p>
      <w:pPr>
        <w:bidi w:val="0"/>
        <w:rPr>
          <w:rFonts w:hint="eastAsia"/>
        </w:rPr>
      </w:pPr>
      <w:r>
        <w:rPr>
          <w:rFonts w:hint="eastAsia"/>
        </w:rPr>
        <w:t>本次工程均采用排水干法施工，</w:t>
      </w:r>
      <w:r>
        <w:rPr>
          <w:rFonts w:hint="eastAsia"/>
          <w:lang w:val="en-US" w:eastAsia="zh-CN"/>
        </w:rPr>
        <w:t>由于</w:t>
      </w:r>
      <w:r>
        <w:rPr>
          <w:rFonts w:hint="eastAsia"/>
        </w:rPr>
        <w:t>项目区位于扬州北部丘陵地南端，地处仪扬丘陵与平原区交接处，地势西北高、东南低，是扬州市区地势起伏较大的区域，</w:t>
      </w:r>
      <w:r>
        <w:rPr>
          <w:rFonts w:hint="eastAsia"/>
          <w:lang w:val="en-US" w:eastAsia="zh-CN"/>
        </w:rPr>
        <w:t>且周边规划河道仍未实施，因此无法采用附近</w:t>
      </w:r>
      <w:r>
        <w:rPr>
          <w:rFonts w:hint="eastAsia"/>
        </w:rPr>
        <w:t>河道进行施工导流</w:t>
      </w:r>
      <w:r>
        <w:rPr>
          <w:rFonts w:hint="eastAsia"/>
          <w:lang w:eastAsia="zh-CN"/>
        </w:rPr>
        <w:t>，</w:t>
      </w:r>
      <w:r>
        <w:rPr>
          <w:rFonts w:hint="eastAsia"/>
        </w:rPr>
        <w:t>工期安排至</w:t>
      </w:r>
      <w:r>
        <w:rPr>
          <w:rFonts w:hint="eastAsia"/>
          <w:lang w:val="en-US" w:eastAsia="zh-CN"/>
        </w:rPr>
        <w:t>非汛期</w:t>
      </w:r>
      <w:r>
        <w:rPr>
          <w:rFonts w:hint="eastAsia"/>
        </w:rPr>
        <w:t>，少量基坑内降雨及周边汇水可通过临时驾机施工导流排水至下游</w:t>
      </w:r>
      <w:r>
        <w:rPr>
          <w:rFonts w:hint="eastAsia"/>
          <w:lang w:val="en-US" w:eastAsia="zh-CN"/>
        </w:rPr>
        <w:t>雨水井或</w:t>
      </w:r>
      <w:r>
        <w:rPr>
          <w:rFonts w:hint="eastAsia"/>
        </w:rPr>
        <w:t>河道。</w:t>
      </w:r>
    </w:p>
    <w:p>
      <w:pPr>
        <w:numPr>
          <w:ilvl w:val="0"/>
          <w:numId w:val="2"/>
        </w:numPr>
        <w:ind w:firstLine="480"/>
        <w:rPr>
          <w:rFonts w:hint="eastAsia"/>
          <w:lang w:val="en-US" w:eastAsia="zh-CN"/>
        </w:rPr>
      </w:pPr>
      <w:r>
        <w:rPr>
          <w:rFonts w:hint="eastAsia"/>
          <w:lang w:val="en-US" w:eastAsia="zh-CN"/>
        </w:rPr>
        <w:t>施工截流</w:t>
      </w:r>
    </w:p>
    <w:p>
      <w:pPr>
        <w:bidi w:val="0"/>
        <w:rPr>
          <w:rFonts w:hint="eastAsia"/>
        </w:rPr>
      </w:pPr>
      <w:r>
        <w:rPr>
          <w:rFonts w:hint="eastAsia"/>
          <w:lang w:val="en-US" w:eastAsia="zh-CN"/>
        </w:rPr>
        <w:t>本</w:t>
      </w:r>
      <w:r>
        <w:rPr>
          <w:rFonts w:hint="eastAsia"/>
        </w:rPr>
        <w:t>工程</w:t>
      </w:r>
      <w:r>
        <w:rPr>
          <w:rFonts w:hint="eastAsia"/>
          <w:lang w:val="en-US" w:eastAsia="zh-CN"/>
        </w:rPr>
        <w:t>主要</w:t>
      </w:r>
      <w:r>
        <w:rPr>
          <w:rFonts w:hint="eastAsia"/>
        </w:rPr>
        <w:t>为</w:t>
      </w:r>
      <w:r>
        <w:rPr>
          <w:rFonts w:hint="eastAsia"/>
          <w:lang w:val="en-US" w:eastAsia="zh-CN"/>
        </w:rPr>
        <w:t>河塘开挖整治、</w:t>
      </w:r>
      <w:r>
        <w:rPr>
          <w:rFonts w:hint="eastAsia"/>
        </w:rPr>
        <w:t>河道</w:t>
      </w:r>
      <w:r>
        <w:rPr>
          <w:rFonts w:hint="eastAsia"/>
          <w:lang w:val="en-US" w:eastAsia="zh-CN"/>
        </w:rPr>
        <w:t>拓浚整治及配套建筑物改造工程</w:t>
      </w:r>
      <w:r>
        <w:rPr>
          <w:rFonts w:hint="eastAsia"/>
        </w:rPr>
        <w:t>，施工期需设置</w:t>
      </w:r>
      <w:r>
        <w:rPr>
          <w:rFonts w:hint="eastAsia"/>
          <w:lang w:val="en-US" w:eastAsia="zh-CN"/>
        </w:rPr>
        <w:t>粘性土</w:t>
      </w:r>
      <w:r>
        <w:rPr>
          <w:rFonts w:hint="eastAsia"/>
        </w:rPr>
        <w:t>围堰</w:t>
      </w:r>
      <w:r>
        <w:rPr>
          <w:rFonts w:hint="eastAsia"/>
          <w:lang w:val="en-US" w:eastAsia="zh-CN"/>
        </w:rPr>
        <w:t>2座，</w:t>
      </w:r>
      <w:r>
        <w:rPr>
          <w:rFonts w:hint="eastAsia"/>
        </w:rPr>
        <w:t>为节省临时工程造价，充分利用当地材料，本工程围堰主要采用结构简单、施工方便、易于拆除的均质土体围堰</w:t>
      </w:r>
      <w:r>
        <w:rPr>
          <w:rFonts w:hint="eastAsia"/>
          <w:lang w:eastAsia="zh-CN"/>
        </w:rPr>
        <w:t>，</w:t>
      </w:r>
      <w:r>
        <w:rPr>
          <w:rFonts w:hint="eastAsia"/>
        </w:rPr>
        <w:t>填土围堰断面为梯形断面，围堰堰体为均质土。</w:t>
      </w:r>
    </w:p>
    <w:p>
      <w:pPr>
        <w:bidi w:val="0"/>
        <w:rPr>
          <w:rFonts w:hint="eastAsia"/>
          <w:lang w:val="en-US" w:eastAsia="zh-CN"/>
        </w:rPr>
      </w:pPr>
      <w:r>
        <w:rPr>
          <w:rFonts w:hint="eastAsia"/>
          <w:lang w:val="en-US" w:eastAsia="zh-CN"/>
        </w:rPr>
        <w:t>由于沿山河无法断流，本次活水泵站施工需要在沿山河打钢板桩围堰，围堰顶高程8.5m，宽3m。工程施工结束后拆坝放水，最后进行场地清理。</w:t>
      </w:r>
    </w:p>
    <w:p>
      <w:pPr>
        <w:pStyle w:val="5"/>
        <w:tabs>
          <w:tab w:val="left" w:pos="0"/>
        </w:tabs>
        <w:ind w:left="0" w:leftChars="-1" w:hanging="2"/>
        <w:rPr>
          <w:rFonts w:hint="eastAsia"/>
        </w:rPr>
      </w:pPr>
      <w:r>
        <w:rPr>
          <w:rFonts w:hint="eastAsia"/>
          <w:lang w:val="en-US" w:eastAsia="zh-CN"/>
        </w:rPr>
        <w:t>7.3</w:t>
      </w:r>
      <w:r>
        <w:rPr>
          <w:rFonts w:hint="eastAsia"/>
        </w:rPr>
        <w:t>施工降排水</w:t>
      </w:r>
    </w:p>
    <w:p>
      <w:pPr>
        <w:ind w:firstLine="480"/>
        <w:rPr>
          <w:sz w:val="24"/>
        </w:rPr>
      </w:pPr>
      <w:r>
        <w:rPr>
          <w:rFonts w:hint="eastAsia"/>
          <w:sz w:val="24"/>
        </w:rPr>
        <w:t>施工过程中应加强降排水工作，降低地下水位至挡墙护岸底板底面以下0.50m。</w:t>
      </w:r>
    </w:p>
    <w:p>
      <w:pPr>
        <w:pStyle w:val="5"/>
        <w:tabs>
          <w:tab w:val="left" w:pos="0"/>
        </w:tabs>
        <w:ind w:left="0" w:leftChars="-1" w:hanging="2"/>
        <w:rPr>
          <w:rFonts w:hint="eastAsia"/>
        </w:rPr>
      </w:pPr>
      <w:r>
        <w:rPr>
          <w:rFonts w:hint="eastAsia"/>
          <w:lang w:val="en-US" w:eastAsia="zh-CN"/>
        </w:rPr>
        <w:t>7.4</w:t>
      </w:r>
      <w:r>
        <w:rPr>
          <w:rFonts w:hint="eastAsia"/>
        </w:rPr>
        <w:t>基坑开挖和土方填筑</w:t>
      </w:r>
    </w:p>
    <w:p>
      <w:pPr>
        <w:ind w:firstLine="480"/>
        <w:rPr>
          <w:rFonts w:hint="eastAsia"/>
          <w:sz w:val="24"/>
        </w:rPr>
      </w:pPr>
      <w:r>
        <w:rPr>
          <w:rFonts w:hint="eastAsia"/>
          <w:sz w:val="24"/>
        </w:rPr>
        <w:t>基坑边坡应根据地质、降低地下水位措施和施工条件等情况，经稳定验算后确定。开挖前应降低地下水位，使其低于开挖面以下0.5m。基坑开挖后，须会同业主、监理、勘察、设计方的相关人员验槽后，方可进行下阶段的施工。土方工程除需满足堤防工程等相关施工规范要求外，还应执行省水利厅《关于进一步加强土方质量管理的通知》（苏水基【2013】17号）文件的规定要求。</w:t>
      </w:r>
    </w:p>
    <w:p>
      <w:pPr>
        <w:pStyle w:val="5"/>
        <w:tabs>
          <w:tab w:val="left" w:pos="0"/>
        </w:tabs>
        <w:ind w:left="0" w:leftChars="-1" w:hanging="2"/>
        <w:rPr>
          <w:rFonts w:hint="eastAsia"/>
        </w:rPr>
      </w:pPr>
      <w:r>
        <w:rPr>
          <w:rFonts w:hint="eastAsia"/>
          <w:lang w:val="en-US" w:eastAsia="zh-CN"/>
        </w:rPr>
        <w:t>7.5</w:t>
      </w:r>
      <w:r>
        <w:rPr>
          <w:rFonts w:hint="eastAsia"/>
        </w:rPr>
        <w:t>主体工程施工</w:t>
      </w:r>
    </w:p>
    <w:p>
      <w:pPr>
        <w:ind w:firstLine="480"/>
        <w:rPr>
          <w:rFonts w:hint="eastAsia"/>
          <w:sz w:val="24"/>
        </w:rPr>
      </w:pPr>
      <w:r>
        <w:rPr>
          <w:rFonts w:hint="eastAsia"/>
          <w:sz w:val="24"/>
        </w:rPr>
        <w:t>本次河道工程施工主要包括河道</w:t>
      </w:r>
      <w:r>
        <w:rPr>
          <w:rFonts w:hint="eastAsia"/>
          <w:sz w:val="24"/>
          <w:lang w:val="en-US" w:eastAsia="zh-CN"/>
        </w:rPr>
        <w:t>开挖</w:t>
      </w:r>
      <w:r>
        <w:rPr>
          <w:rFonts w:hint="eastAsia"/>
          <w:sz w:val="24"/>
        </w:rPr>
        <w:t>、</w:t>
      </w:r>
      <w:r>
        <w:rPr>
          <w:rFonts w:hint="eastAsia"/>
          <w:sz w:val="24"/>
          <w:lang w:val="en-US" w:eastAsia="zh-CN"/>
        </w:rPr>
        <w:t>生态护岸施工</w:t>
      </w:r>
      <w:r>
        <w:rPr>
          <w:rFonts w:hint="eastAsia"/>
          <w:sz w:val="24"/>
        </w:rPr>
        <w:t>、弃土堆放和水土保持等。</w:t>
      </w:r>
    </w:p>
    <w:p>
      <w:pPr>
        <w:pStyle w:val="6"/>
        <w:tabs>
          <w:tab w:val="left" w:pos="560"/>
          <w:tab w:val="left" w:pos="840"/>
        </w:tabs>
        <w:rPr>
          <w:rFonts w:hint="eastAsia" w:eastAsia="宋体"/>
          <w:lang w:val="en-US" w:eastAsia="zh-CN"/>
        </w:rPr>
      </w:pPr>
      <w:r>
        <w:rPr>
          <w:rFonts w:hint="eastAsia"/>
          <w:lang w:val="en-US" w:eastAsia="zh-CN"/>
        </w:rPr>
        <w:t>7.5.1</w:t>
      </w:r>
      <w:r>
        <w:rPr>
          <w:rFonts w:hint="eastAsia"/>
        </w:rPr>
        <w:t>河道</w:t>
      </w:r>
      <w:r>
        <w:rPr>
          <w:rFonts w:hint="eastAsia"/>
          <w:lang w:val="en-US" w:eastAsia="zh-CN"/>
        </w:rPr>
        <w:t>开挖</w:t>
      </w:r>
    </w:p>
    <w:p>
      <w:pPr>
        <w:ind w:firstLine="480"/>
        <w:rPr>
          <w:rFonts w:hint="eastAsia"/>
          <w:sz w:val="24"/>
        </w:rPr>
      </w:pPr>
      <w:r>
        <w:rPr>
          <w:rFonts w:hint="eastAsia"/>
          <w:sz w:val="24"/>
        </w:rPr>
        <w:t>在河道</w:t>
      </w:r>
      <w:r>
        <w:rPr>
          <w:rFonts w:hint="eastAsia"/>
          <w:sz w:val="24"/>
          <w:lang w:val="en-US" w:eastAsia="zh-CN"/>
        </w:rPr>
        <w:t>围堰完成</w:t>
      </w:r>
      <w:r>
        <w:rPr>
          <w:rFonts w:hint="eastAsia"/>
          <w:sz w:val="24"/>
        </w:rPr>
        <w:t>后，采用</w:t>
      </w:r>
      <w:r>
        <w:rPr>
          <w:rFonts w:hint="eastAsia"/>
          <w:sz w:val="24"/>
          <w:lang w:val="en-US" w:eastAsia="zh-CN"/>
        </w:rPr>
        <w:t>挖掘机进行开挖，并配合自卸汽车将</w:t>
      </w:r>
      <w:r>
        <w:rPr>
          <w:rFonts w:hint="eastAsia"/>
          <w:sz w:val="24"/>
        </w:rPr>
        <w:t>送至</w:t>
      </w:r>
      <w:r>
        <w:rPr>
          <w:rFonts w:hint="eastAsia"/>
          <w:sz w:val="24"/>
          <w:lang w:val="en-US" w:eastAsia="zh-CN"/>
        </w:rPr>
        <w:t>指定弃土区</w:t>
      </w:r>
      <w:r>
        <w:rPr>
          <w:rFonts w:hint="eastAsia"/>
          <w:sz w:val="24"/>
        </w:rPr>
        <w:t>。河道开挖施工应遵循自上而下的原则分层开挖。开挖可采取台阶型开挖，但必需进行人工修坡，达到设计边坡轮廓面。要求加强土体的渗水排除，降低土壤含水量。</w:t>
      </w:r>
    </w:p>
    <w:p>
      <w:pPr>
        <w:pStyle w:val="6"/>
        <w:tabs>
          <w:tab w:val="left" w:pos="560"/>
          <w:tab w:val="left" w:pos="840"/>
        </w:tabs>
        <w:rPr>
          <w:rFonts w:hint="eastAsia"/>
        </w:rPr>
      </w:pPr>
      <w:r>
        <w:rPr>
          <w:rFonts w:hint="eastAsia"/>
          <w:lang w:val="en-US" w:eastAsia="zh-CN"/>
        </w:rPr>
        <w:t>7.5.2</w:t>
      </w:r>
      <w:r>
        <w:rPr>
          <w:rFonts w:hint="eastAsia"/>
        </w:rPr>
        <w:t>护</w:t>
      </w:r>
      <w:r>
        <w:rPr>
          <w:rFonts w:hint="eastAsia"/>
          <w:lang w:val="en-US" w:eastAsia="zh-CN"/>
        </w:rPr>
        <w:t>坡</w:t>
      </w:r>
      <w:r>
        <w:rPr>
          <w:rFonts w:hint="eastAsia"/>
        </w:rPr>
        <w:t>施工</w:t>
      </w:r>
    </w:p>
    <w:p>
      <w:pPr>
        <w:ind w:firstLine="480"/>
        <w:rPr>
          <w:rFonts w:hint="eastAsia" w:eastAsia="宋体" w:cs="Times New Roman"/>
          <w:sz w:val="24"/>
          <w:lang w:val="en-US" w:eastAsia="zh-CN"/>
        </w:rPr>
      </w:pPr>
      <w:r>
        <w:rPr>
          <w:rFonts w:hint="eastAsia" w:eastAsia="宋体" w:cs="Times New Roman"/>
          <w:sz w:val="24"/>
          <w:lang w:val="en-US" w:eastAsia="zh-CN"/>
        </w:rPr>
        <w:t>1、施工准备：为合理利用资源和确保安全有效组织生产，配置和落实人员、机械、材料、工具等施工准备。</w:t>
      </w:r>
    </w:p>
    <w:p>
      <w:pPr>
        <w:ind w:firstLine="480"/>
        <w:rPr>
          <w:rFonts w:hint="eastAsia" w:eastAsia="宋体" w:cs="Times New Roman"/>
          <w:sz w:val="24"/>
          <w:lang w:val="en-US" w:eastAsia="zh-CN"/>
        </w:rPr>
      </w:pPr>
      <w:r>
        <w:rPr>
          <w:rFonts w:hint="eastAsia" w:eastAsia="宋体" w:cs="Times New Roman"/>
          <w:sz w:val="24"/>
          <w:lang w:val="en-US" w:eastAsia="zh-CN"/>
        </w:rPr>
        <w:t>2、坡面整平：按坝坡坡面的设计高程，采用测量仪器全程监控坡面整平。先用机械对坡面余土进行较为精确的削坡和整平，再由人工挂线进行坡面的精确整平。</w:t>
      </w:r>
    </w:p>
    <w:p>
      <w:pPr>
        <w:ind w:firstLine="480"/>
        <w:rPr>
          <w:rFonts w:hint="eastAsia" w:eastAsia="宋体" w:cs="Times New Roman"/>
          <w:sz w:val="24"/>
          <w:lang w:val="en-US" w:eastAsia="zh-CN"/>
        </w:rPr>
      </w:pPr>
      <w:r>
        <w:rPr>
          <w:rFonts w:hint="eastAsia" w:eastAsia="宋体" w:cs="Times New Roman"/>
          <w:sz w:val="24"/>
          <w:lang w:val="en-US" w:eastAsia="zh-CN"/>
        </w:rPr>
        <w:t>3、连锁混凝土砌块铺设</w:t>
      </w:r>
    </w:p>
    <w:p>
      <w:pPr>
        <w:ind w:firstLine="480"/>
        <w:rPr>
          <w:rFonts w:hint="eastAsia" w:eastAsia="宋体" w:cs="Times New Roman"/>
          <w:sz w:val="24"/>
          <w:lang w:val="en-US" w:eastAsia="zh-CN"/>
        </w:rPr>
      </w:pPr>
      <w:r>
        <w:rPr>
          <w:rFonts w:hint="eastAsia" w:eastAsia="宋体" w:cs="Times New Roman"/>
          <w:sz w:val="24"/>
          <w:lang w:val="en-US" w:eastAsia="zh-CN"/>
        </w:rPr>
        <w:t>（1）设高程控制桩，挂标高控制线。按设计护坡坡度和高程，在垂直坡底镇脚方向上按6m间距分别打桩挂线，再在镇脚水平方向挂两道水平控制线，水平线位于垂直方向线的上方。</w:t>
      </w:r>
    </w:p>
    <w:p>
      <w:pPr>
        <w:ind w:firstLine="480"/>
        <w:rPr>
          <w:rFonts w:hint="eastAsia" w:eastAsia="宋体" w:cs="Times New Roman"/>
          <w:sz w:val="24"/>
          <w:lang w:val="en-US" w:eastAsia="zh-CN"/>
        </w:rPr>
      </w:pPr>
      <w:r>
        <w:rPr>
          <w:rFonts w:hint="eastAsia" w:eastAsia="宋体" w:cs="Times New Roman"/>
          <w:sz w:val="24"/>
          <w:lang w:val="en-US" w:eastAsia="zh-CN"/>
        </w:rPr>
        <w:t>（2）铺设土工布一层及砂石垫层并找平，砌筑第一行混凝土砌块从底格埂一侧开始，砌块底边沿线对齐下边起始标高控制线，砌块的上边沿对齐上边水平线，由坡底向坡顶方向按标高控制线逐行砌筑。</w:t>
      </w:r>
    </w:p>
    <w:p>
      <w:pPr>
        <w:ind w:firstLine="480"/>
        <w:rPr>
          <w:rFonts w:hint="eastAsia" w:eastAsia="宋体" w:cs="Times New Roman"/>
          <w:sz w:val="24"/>
          <w:lang w:val="en-US" w:eastAsia="zh-CN"/>
        </w:rPr>
      </w:pPr>
      <w:r>
        <w:rPr>
          <w:rFonts w:hint="eastAsia" w:eastAsia="宋体" w:cs="Times New Roman"/>
          <w:sz w:val="24"/>
          <w:lang w:val="en-US" w:eastAsia="zh-CN"/>
        </w:rPr>
        <w:t>（3）砌块砌筑时，由两人配合，采用一对专制钢齿耙完成对砼砌块的“抬运一就位一放下一找平一锤实”等。</w:t>
      </w:r>
    </w:p>
    <w:p>
      <w:pPr>
        <w:ind w:firstLine="480"/>
        <w:rPr>
          <w:rFonts w:hint="eastAsia" w:eastAsia="宋体" w:cs="Times New Roman"/>
          <w:sz w:val="24"/>
          <w:lang w:val="en-US" w:eastAsia="zh-CN"/>
        </w:rPr>
      </w:pPr>
      <w:r>
        <w:rPr>
          <w:rFonts w:hint="eastAsia" w:eastAsia="宋体" w:cs="Times New Roman"/>
          <w:sz w:val="24"/>
          <w:lang w:val="en-US" w:eastAsia="zh-CN"/>
        </w:rPr>
        <w:t>（4）在同一作业面内，混凝土砌块的砌筑应从左(或右)下角开始沿水平方向逐行进行，以防产生累积误差，影响砌筑质量。</w:t>
      </w:r>
    </w:p>
    <w:p>
      <w:pPr>
        <w:pStyle w:val="6"/>
        <w:tabs>
          <w:tab w:val="left" w:pos="709"/>
        </w:tabs>
        <w:rPr>
          <w:rFonts w:hint="eastAsia"/>
        </w:rPr>
      </w:pPr>
      <w:r>
        <w:rPr>
          <w:rFonts w:hint="eastAsia"/>
          <w:lang w:val="en-US" w:eastAsia="zh-CN"/>
        </w:rPr>
        <w:t>7.5.3</w:t>
      </w:r>
      <w:r>
        <w:rPr>
          <w:rFonts w:hint="eastAsia"/>
        </w:rPr>
        <w:t>回填土施工</w:t>
      </w:r>
    </w:p>
    <w:p>
      <w:pPr>
        <w:spacing w:line="336" w:lineRule="auto"/>
        <w:ind w:firstLine="480"/>
        <w:rPr>
          <w:rFonts w:hint="eastAsia"/>
          <w:sz w:val="24"/>
        </w:rPr>
      </w:pPr>
      <w:r>
        <w:rPr>
          <w:rFonts w:hint="eastAsia"/>
          <w:sz w:val="24"/>
        </w:rPr>
        <w:t>回填土必须分层压实，一次压实的厚度不超过25cm，并要求土体压实后达到0.91的密实度。</w:t>
      </w:r>
    </w:p>
    <w:p>
      <w:pPr>
        <w:spacing w:line="336" w:lineRule="auto"/>
        <w:ind w:firstLine="480"/>
        <w:rPr>
          <w:rFonts w:hint="eastAsia"/>
          <w:sz w:val="24"/>
        </w:rPr>
      </w:pPr>
      <w:r>
        <w:rPr>
          <w:rFonts w:hint="eastAsia"/>
          <w:sz w:val="24"/>
        </w:rPr>
        <w:t>压实设备的选择应符合回填土的性质，粘性土一般采用夯板、羊脚碾等，非粘性土一般采用震动碾、气胎碾等，不管采用什么碾压方式，任何超过500kg的重型压实设备必须远离墙面至少1.5m，以免施工时对墙体产生过大的水平压力，在这个范围内只能用手动的小型平板震动机或夯板进行夯实，并要求至少可达到0.91的密实度。</w:t>
      </w:r>
    </w:p>
    <w:p>
      <w:pPr>
        <w:spacing w:line="336" w:lineRule="auto"/>
        <w:ind w:firstLine="480"/>
        <w:rPr>
          <w:rFonts w:hint="eastAsia"/>
          <w:sz w:val="24"/>
        </w:rPr>
      </w:pPr>
      <w:r>
        <w:rPr>
          <w:rFonts w:hint="eastAsia"/>
          <w:sz w:val="24"/>
        </w:rPr>
        <w:t>基础开挖中凡是垃圾土、淤泥等杂土必须全部清出场外，不得在边坡和河岸上堆积。</w:t>
      </w:r>
    </w:p>
    <w:p>
      <w:pPr>
        <w:pStyle w:val="6"/>
        <w:tabs>
          <w:tab w:val="left" w:pos="709"/>
        </w:tabs>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7.5.</w:t>
      </w:r>
      <w:r>
        <w:rPr>
          <w:rFonts w:hint="eastAsia" w:cs="Times New Roman"/>
          <w:lang w:val="en-US" w:eastAsia="zh-CN"/>
        </w:rPr>
        <w:t>4</w:t>
      </w:r>
      <w:r>
        <w:rPr>
          <w:rFonts w:hint="eastAsia" w:ascii="Times New Roman" w:hAnsi="Times New Roman" w:eastAsia="宋体" w:cs="Times New Roman"/>
          <w:lang w:val="en-US" w:eastAsia="zh-CN"/>
        </w:rPr>
        <w:t>雨天与低温施工</w:t>
      </w:r>
    </w:p>
    <w:p>
      <w:pPr>
        <w:ind w:firstLine="480"/>
      </w:pPr>
      <w:r>
        <w:rPr>
          <w:rFonts w:hint="eastAsia"/>
        </w:rPr>
        <w:t>碾压土堤雨天与低温施工应符合下列要求：</w:t>
      </w:r>
    </w:p>
    <w:p>
      <w:pPr>
        <w:ind w:firstLine="480"/>
      </w:pPr>
      <w:r>
        <w:rPr>
          <w:rFonts w:hint="eastAsia"/>
        </w:rPr>
        <w:t>1、雨前应及时压实作业面， 并做成中央凸起向两侧微倾。当降小雨时， 应立即停止黏性土填筑。</w:t>
      </w:r>
    </w:p>
    <w:p>
      <w:pPr>
        <w:ind w:firstLine="480"/>
      </w:pPr>
      <w:r>
        <w:rPr>
          <w:rFonts w:hint="eastAsia"/>
        </w:rPr>
        <w:t>2、下雨时不宜在黏性土填筑面上行走，不允许车辆通行；雨后对填筑面应进行晾晒、复压处理；必要时还应对表层再次清理， 并经检验合格后及时复工。</w:t>
      </w:r>
    </w:p>
    <w:p>
      <w:pPr>
        <w:ind w:firstLine="480"/>
      </w:pPr>
      <w:r>
        <w:rPr>
          <w:rFonts w:hint="eastAsia"/>
        </w:rPr>
        <w:t>3、负温环境中施工应取正温土料；装土、铺土、碾压、取样等工序都应采取快速连续作业；土料压实温度应在</w:t>
      </w:r>
      <w:r>
        <w:t>-1℃以上</w:t>
      </w:r>
      <w:r>
        <w:rPr>
          <w:rFonts w:hint="eastAsia"/>
        </w:rPr>
        <w:t>。</w:t>
      </w:r>
    </w:p>
    <w:p>
      <w:pPr>
        <w:ind w:firstLine="480"/>
      </w:pPr>
      <w:r>
        <w:rPr>
          <w:rFonts w:hint="eastAsia"/>
        </w:rPr>
        <w:t>4、负温环境施工，黏性土含水量不应大于塑限的 90%；铺土厚度应比常规要求适当减薄，或采用重型碾压机械碾压。</w:t>
      </w:r>
    </w:p>
    <w:p>
      <w:pPr>
        <w:pStyle w:val="5"/>
        <w:ind w:left="0" w:leftChars="-1" w:hanging="2"/>
        <w:rPr>
          <w:rFonts w:hint="eastAsia"/>
        </w:rPr>
      </w:pPr>
      <w:r>
        <w:rPr>
          <w:rFonts w:hint="eastAsia"/>
          <w:lang w:val="en-US" w:eastAsia="zh-CN"/>
        </w:rPr>
        <w:t>7.6</w:t>
      </w:r>
      <w:r>
        <w:rPr>
          <w:rFonts w:hint="eastAsia"/>
        </w:rPr>
        <w:t>砼、钢筋砼和砌石施工</w:t>
      </w:r>
    </w:p>
    <w:p>
      <w:pPr>
        <w:pStyle w:val="6"/>
        <w:tabs>
          <w:tab w:val="left" w:pos="560"/>
          <w:tab w:val="left" w:pos="840"/>
        </w:tabs>
        <w:rPr>
          <w:rFonts w:hint="eastAsia"/>
        </w:rPr>
      </w:pPr>
      <w:r>
        <w:rPr>
          <w:rFonts w:hint="eastAsia"/>
          <w:lang w:val="en-US" w:eastAsia="zh-CN"/>
        </w:rPr>
        <w:t>7.6.1</w:t>
      </w:r>
      <w:r>
        <w:rPr>
          <w:rFonts w:hint="eastAsia"/>
        </w:rPr>
        <w:t>砼工程</w:t>
      </w:r>
    </w:p>
    <w:p>
      <w:pPr>
        <w:ind w:firstLine="480"/>
        <w:rPr>
          <w:rFonts w:hint="eastAsia"/>
          <w:sz w:val="24"/>
        </w:rPr>
      </w:pPr>
      <w:r>
        <w:rPr>
          <w:rFonts w:hint="eastAsia"/>
          <w:sz w:val="24"/>
        </w:rPr>
        <w:t>砼浇筑顺序根据结构缝和结构形状由低到高分段、分层块，依次逐层向上进行，其中泵室或闸首按底板、墩墙、排架等几层，砼浇筑顺序分块，跳块浇筑，每段每层砼一次性连续浇筑，以防产生冷缝，并做好结构缝的止水埋设。砼、钢筋砼和砌石施工应严格按设计尺寸进行施工放样。砼达到一定强度后方可进行下一道工序。砼、钢筋砼和砌石工程施工要求详见相关规范。</w:t>
      </w:r>
    </w:p>
    <w:p>
      <w:pPr>
        <w:ind w:firstLine="480"/>
        <w:rPr>
          <w:rFonts w:hint="eastAsia"/>
          <w:sz w:val="24"/>
        </w:rPr>
      </w:pPr>
      <w:r>
        <w:rPr>
          <w:rFonts w:hint="eastAsia"/>
          <w:sz w:val="24"/>
        </w:rPr>
        <w:t>砼浇筑立模主要采用钢模板，边角及不规则部位用木模板，钢筋对拉加木支撑结构。为使砼浇筑连续，模板量按总面积1/2～1/3准备。施工顺序依次为建筑物底板、中部结构、上部结构、翼墙，最后浇筑上、下游护坦，以减少地基不均匀沉降。砼施工采用满堂脚手、翻斗车输送带运送生料、翻斗车运送熟料的方法，砼振捣采用插入式振捣器。砼骨料均由外地采购运至工地现场冲洗，模板及钢筋制作均由工地加工完成。</w:t>
      </w:r>
    </w:p>
    <w:p>
      <w:pPr>
        <w:ind w:firstLine="480"/>
        <w:rPr>
          <w:rFonts w:hint="eastAsia"/>
          <w:sz w:val="24"/>
        </w:rPr>
      </w:pPr>
      <w:r>
        <w:rPr>
          <w:rFonts w:hint="eastAsia"/>
          <w:sz w:val="24"/>
        </w:rPr>
        <w:t>砼施工时应严格按相关施工规范的要求进行配料、浇筑和养护，以保证砼工程的施工质量。</w:t>
      </w:r>
    </w:p>
    <w:p>
      <w:pPr>
        <w:keepNext/>
        <w:keepLines/>
        <w:ind w:firstLine="0" w:firstLineChars="0"/>
        <w:jc w:val="left"/>
        <w:outlineLvl w:val="1"/>
        <w:rPr>
          <w:b/>
          <w:sz w:val="30"/>
        </w:rPr>
      </w:pPr>
      <w:r>
        <w:rPr>
          <w:b/>
          <w:sz w:val="30"/>
        </w:rPr>
        <w:t>7.</w:t>
      </w:r>
      <w:r>
        <w:rPr>
          <w:rFonts w:hint="eastAsia"/>
          <w:b/>
          <w:sz w:val="30"/>
          <w:lang w:val="en-US" w:eastAsia="zh-CN"/>
        </w:rPr>
        <w:t>7</w:t>
      </w:r>
      <w:r>
        <w:rPr>
          <w:b/>
          <w:sz w:val="30"/>
        </w:rPr>
        <w:t>施工安全</w:t>
      </w:r>
    </w:p>
    <w:p>
      <w:pPr>
        <w:ind w:firstLine="480"/>
        <w:jc w:val="left"/>
        <w:rPr>
          <w:rFonts w:ascii="宋体" w:hAnsi="宋体" w:cs="宋体"/>
        </w:rPr>
      </w:pPr>
      <w:r>
        <w:rPr>
          <w:rFonts w:hint="eastAsia" w:eastAsia="Cambria"/>
        </w:rPr>
        <w:t>1</w:t>
      </w:r>
      <w:r>
        <w:rPr>
          <w:rFonts w:hint="eastAsia" w:ascii="宋体" w:hAnsi="宋体" w:cs="宋体"/>
        </w:rPr>
        <w:t>、工程施工前，我公司将对施工图设计文件作技术交底；施工中我公司将及时解决施工中发现的勘察、设计问题，参与工程质量事故调查分析，按规定参与施工验槽工作，并对因勘察、设计原因造成的质量事故提出相应的技术处理方案。</w:t>
      </w:r>
    </w:p>
    <w:p>
      <w:pPr>
        <w:ind w:firstLine="482"/>
        <w:jc w:val="left"/>
        <w:rPr>
          <w:b/>
          <w:bCs/>
        </w:rPr>
      </w:pPr>
      <w:r>
        <w:rPr>
          <w:b/>
          <w:bCs/>
        </w:rPr>
        <w:t>2、工程施工安全措施必需满足《水利水电工程施工安全管理导则》（SL 721-2015）的要求。施工单位应当成立安全生产领导小组，设置安全生产管理机构，</w:t>
      </w:r>
      <w:r>
        <w:rPr>
          <w:rFonts w:hint="eastAsia"/>
          <w:b/>
          <w:bCs/>
        </w:rPr>
        <w:t>建立安全生产制度，</w:t>
      </w:r>
      <w:r>
        <w:rPr>
          <w:b/>
          <w:bCs/>
        </w:rPr>
        <w:t>配备专职安全生产管理人员，</w:t>
      </w:r>
      <w:r>
        <w:rPr>
          <w:rFonts w:hint="eastAsia"/>
          <w:b/>
          <w:bCs/>
        </w:rPr>
        <w:t>明确划分项目部各人员的责任制，</w:t>
      </w:r>
      <w:r>
        <w:rPr>
          <w:b/>
          <w:bCs/>
        </w:rPr>
        <w:t>编制相应安全生产条款、措施等，</w:t>
      </w:r>
      <w:r>
        <w:rPr>
          <w:rFonts w:hint="eastAsia"/>
          <w:b/>
          <w:bCs/>
        </w:rPr>
        <w:t>制定严格的安全技术操作规程，</w:t>
      </w:r>
      <w:r>
        <w:rPr>
          <w:b/>
          <w:bCs/>
        </w:rPr>
        <w:t>并报项目法人备案。</w:t>
      </w:r>
    </w:p>
    <w:p>
      <w:pPr>
        <w:ind w:firstLine="480"/>
        <w:jc w:val="left"/>
      </w:pPr>
      <w:r>
        <w:t>3</w:t>
      </w:r>
      <w:r>
        <w:rPr>
          <w:rFonts w:hint="eastAsia"/>
        </w:rPr>
        <w:t>、施工单位施工前应编制施工组织设计，批准后方可进场施工；对一些专业性强、难度大的施工项目，单独编制专项安全施工组织设计，提出保障施工作业人员安全和预防生产安全事故的措施。</w:t>
      </w:r>
    </w:p>
    <w:p>
      <w:pPr>
        <w:ind w:firstLine="480"/>
        <w:jc w:val="left"/>
      </w:pPr>
      <w:r>
        <w:t>4、施工安全的重点部位和环节：</w:t>
      </w:r>
    </w:p>
    <w:p>
      <w:pPr>
        <w:ind w:firstLine="480"/>
        <w:jc w:val="left"/>
      </w:pPr>
      <w:r>
        <w:t>（1）安全疏散、消防车道、消防给水等应按规定设置；</w:t>
      </w:r>
    </w:p>
    <w:p>
      <w:pPr>
        <w:ind w:firstLine="480"/>
        <w:jc w:val="left"/>
      </w:pPr>
      <w:r>
        <w:t>（2）场地地面水应有常规排水设施和检修排水措施；设置水情自动测报系统；时刻与各级防汛部门保持联系，做好防汛预案并严格执行；</w:t>
      </w:r>
    </w:p>
    <w:p>
      <w:pPr>
        <w:ind w:firstLine="480"/>
        <w:jc w:val="left"/>
      </w:pPr>
      <w:r>
        <w:t>（3）施工现场应按相关法规要求做好防火工作；</w:t>
      </w:r>
    </w:p>
    <w:p>
      <w:pPr>
        <w:ind w:firstLine="480"/>
        <w:jc w:val="left"/>
      </w:pPr>
      <w:r>
        <w:t>（4）预防坍塌事故，做好边坡或边坡支护工作，深基坑施工应单独编制施工方案并报批；</w:t>
      </w:r>
    </w:p>
    <w:p>
      <w:pPr>
        <w:ind w:firstLine="480"/>
        <w:jc w:val="left"/>
      </w:pPr>
      <w:r>
        <w:t>（5）预防机械伤害和触电事故：各类机械必须严格按操作规程和劳保规定进行操作；健全用电管理制度，执行相关法规对临时用电的要求；</w:t>
      </w:r>
    </w:p>
    <w:p>
      <w:pPr>
        <w:ind w:firstLine="480"/>
        <w:jc w:val="left"/>
        <w:rPr>
          <w:rFonts w:eastAsia="Cambria"/>
        </w:rPr>
      </w:pPr>
      <w:r>
        <w:t>（6）做好施工人员的安全防护和相关安全培训工作。</w:t>
      </w:r>
    </w:p>
    <w:p>
      <w:pPr>
        <w:ind w:firstLine="480"/>
        <w:jc w:val="left"/>
        <w:rPr>
          <w:rFonts w:eastAsia="Cambria"/>
        </w:rPr>
      </w:pPr>
      <w:r>
        <w:rPr>
          <w:rFonts w:hint="eastAsia" w:ascii="宋体" w:hAnsi="宋体" w:cs="宋体"/>
        </w:rPr>
        <w:t>5、施工安全组织除严格执行相应的施工规范外，还应满足</w:t>
      </w:r>
      <w:r>
        <w:rPr>
          <w:rFonts w:hint="eastAsia" w:ascii="宋体" w:hAnsi="宋体" w:cs="宋体"/>
          <w:szCs w:val="28"/>
        </w:rPr>
        <w:t>《水利工程建设标准强制性条文》（</w:t>
      </w:r>
      <w:r>
        <w:rPr>
          <w:rFonts w:hint="eastAsia" w:eastAsia="Cambria Math"/>
          <w:szCs w:val="28"/>
        </w:rPr>
        <w:t>2</w:t>
      </w:r>
      <w:r>
        <w:rPr>
          <w:rFonts w:eastAsia="Cambria Math"/>
          <w:szCs w:val="28"/>
        </w:rPr>
        <w:t>020</w:t>
      </w:r>
      <w:r>
        <w:rPr>
          <w:rFonts w:hint="eastAsia" w:ascii="宋体" w:hAnsi="宋体" w:cs="宋体"/>
          <w:szCs w:val="28"/>
        </w:rPr>
        <w:t>年版）</w:t>
      </w:r>
      <w:r>
        <w:rPr>
          <w:rFonts w:hint="eastAsia" w:ascii="宋体" w:hAnsi="宋体" w:cs="宋体"/>
        </w:rPr>
        <w:t>中相关条款的要求。特别是第二篇</w:t>
      </w:r>
      <w:r>
        <w:rPr>
          <w:rFonts w:hint="eastAsia" w:eastAsia="Cambria"/>
        </w:rPr>
        <w:t>8-0-3</w:t>
      </w:r>
      <w:r>
        <w:rPr>
          <w:rFonts w:hint="eastAsia" w:ascii="宋体" w:hAnsi="宋体" w:cs="宋体"/>
        </w:rPr>
        <w:t>（</w:t>
      </w:r>
      <w:r>
        <w:rPr>
          <w:rFonts w:hint="eastAsia" w:eastAsia="Cambria"/>
        </w:rPr>
        <w:t>3.6.1</w:t>
      </w:r>
      <w:r>
        <w:rPr>
          <w:rFonts w:hint="eastAsia" w:ascii="宋体" w:hAnsi="宋体" w:cs="宋体"/>
        </w:rPr>
        <w:t>、</w:t>
      </w:r>
      <w:r>
        <w:rPr>
          <w:rFonts w:hint="eastAsia" w:eastAsia="Cambria"/>
        </w:rPr>
        <w:t>10.4.6</w:t>
      </w:r>
      <w:r>
        <w:rPr>
          <w:rFonts w:hint="eastAsia" w:ascii="宋体" w:hAnsi="宋体" w:cs="宋体"/>
        </w:rPr>
        <w:t>）；第三篇</w:t>
      </w:r>
      <w:r>
        <w:rPr>
          <w:rFonts w:hint="eastAsia" w:eastAsia="Cambria"/>
        </w:rPr>
        <w:t>10-0-4</w:t>
      </w:r>
      <w:r>
        <w:rPr>
          <w:rFonts w:hint="eastAsia" w:ascii="宋体" w:hAnsi="宋体" w:cs="宋体"/>
        </w:rPr>
        <w:t>（</w:t>
      </w:r>
      <w:r>
        <w:rPr>
          <w:rFonts w:hint="eastAsia" w:eastAsia="Cambria"/>
        </w:rPr>
        <w:t>4.2.2</w:t>
      </w:r>
      <w:r>
        <w:rPr>
          <w:rFonts w:hint="eastAsia" w:ascii="宋体" w:hAnsi="宋体" w:cs="宋体"/>
        </w:rPr>
        <w:t>），</w:t>
      </w:r>
      <w:r>
        <w:rPr>
          <w:rFonts w:hint="eastAsia" w:eastAsia="Cambria"/>
        </w:rPr>
        <w:t>10-0-12</w:t>
      </w:r>
      <w:r>
        <w:rPr>
          <w:rFonts w:hint="eastAsia" w:ascii="宋体" w:hAnsi="宋体" w:cs="宋体"/>
        </w:rPr>
        <w:t>（</w:t>
      </w:r>
      <w:r>
        <w:rPr>
          <w:rFonts w:hint="eastAsia" w:eastAsia="Cambria"/>
        </w:rPr>
        <w:t>3.1.11</w:t>
      </w:r>
      <w:r>
        <w:rPr>
          <w:rFonts w:hint="eastAsia" w:ascii="宋体" w:hAnsi="宋体" w:cs="宋体"/>
        </w:rPr>
        <w:t>、</w:t>
      </w:r>
      <w:r>
        <w:rPr>
          <w:rFonts w:hint="eastAsia" w:eastAsia="Cambria"/>
        </w:rPr>
        <w:t>3.5.5</w:t>
      </w:r>
      <w:r>
        <w:rPr>
          <w:rFonts w:hint="eastAsia" w:ascii="宋体" w:hAnsi="宋体" w:cs="宋体"/>
        </w:rPr>
        <w:t>、</w:t>
      </w:r>
      <w:r>
        <w:rPr>
          <w:rFonts w:hint="eastAsia" w:eastAsia="Cambria"/>
        </w:rPr>
        <w:t>3.5.11</w:t>
      </w:r>
      <w:r>
        <w:rPr>
          <w:rFonts w:hint="eastAsia" w:ascii="宋体" w:hAnsi="宋体" w:cs="宋体"/>
        </w:rPr>
        <w:t>、</w:t>
      </w:r>
      <w:r>
        <w:rPr>
          <w:rFonts w:hint="eastAsia" w:eastAsia="Cambria"/>
        </w:rPr>
        <w:t>3.9.4</w:t>
      </w:r>
      <w:r>
        <w:rPr>
          <w:rFonts w:hint="eastAsia" w:ascii="宋体" w:hAnsi="宋体" w:cs="宋体"/>
        </w:rPr>
        <w:t>、</w:t>
      </w:r>
      <w:r>
        <w:rPr>
          <w:rFonts w:hint="eastAsia" w:eastAsia="Cambria"/>
        </w:rPr>
        <w:t>4.1.5</w:t>
      </w:r>
      <w:r>
        <w:rPr>
          <w:rFonts w:hint="eastAsia" w:ascii="宋体" w:hAnsi="宋体" w:cs="宋体"/>
        </w:rPr>
        <w:t>、</w:t>
      </w:r>
      <w:r>
        <w:rPr>
          <w:rFonts w:hint="eastAsia" w:eastAsia="Cambria"/>
        </w:rPr>
        <w:t>5.1.3</w:t>
      </w:r>
      <w:r>
        <w:rPr>
          <w:rFonts w:hint="eastAsia" w:ascii="宋体" w:hAnsi="宋体" w:cs="宋体"/>
        </w:rPr>
        <w:t>、</w:t>
      </w:r>
      <w:r>
        <w:rPr>
          <w:rFonts w:hint="eastAsia" w:eastAsia="Cambria"/>
        </w:rPr>
        <w:t>5.1.12</w:t>
      </w:r>
      <w:r>
        <w:rPr>
          <w:rFonts w:hint="eastAsia" w:ascii="宋体" w:hAnsi="宋体" w:cs="宋体"/>
        </w:rPr>
        <w:t>、</w:t>
      </w:r>
      <w:r>
        <w:rPr>
          <w:rFonts w:hint="eastAsia" w:eastAsia="Cambria"/>
        </w:rPr>
        <w:t>5.2.2</w:t>
      </w:r>
      <w:r>
        <w:rPr>
          <w:rFonts w:hint="eastAsia" w:ascii="宋体" w:hAnsi="宋体" w:cs="宋体"/>
        </w:rPr>
        <w:t>、</w:t>
      </w:r>
      <w:r>
        <w:rPr>
          <w:rFonts w:hint="eastAsia" w:eastAsia="Cambria"/>
        </w:rPr>
        <w:t>5.2.3</w:t>
      </w:r>
      <w:r>
        <w:rPr>
          <w:rFonts w:hint="eastAsia" w:ascii="宋体" w:hAnsi="宋体" w:cs="宋体"/>
        </w:rPr>
        <w:t>、</w:t>
      </w:r>
      <w:r>
        <w:rPr>
          <w:rFonts w:hint="eastAsia" w:eastAsia="Cambria"/>
        </w:rPr>
        <w:t>5.2.6</w:t>
      </w:r>
      <w:r>
        <w:rPr>
          <w:rFonts w:hint="eastAsia" w:ascii="宋体" w:hAnsi="宋体" w:cs="宋体"/>
        </w:rPr>
        <w:t>、</w:t>
      </w:r>
      <w:r>
        <w:rPr>
          <w:rFonts w:hint="eastAsia" w:eastAsia="Cambria"/>
        </w:rPr>
        <w:t>5.2.10</w:t>
      </w:r>
      <w:r>
        <w:rPr>
          <w:rFonts w:hint="eastAsia" w:ascii="宋体" w:hAnsi="宋体" w:cs="宋体"/>
        </w:rPr>
        <w:t>、</w:t>
      </w:r>
      <w:r>
        <w:rPr>
          <w:rFonts w:hint="eastAsia" w:eastAsia="Cambria"/>
        </w:rPr>
        <w:t>5.2.21</w:t>
      </w:r>
      <w:r>
        <w:rPr>
          <w:rFonts w:hint="eastAsia" w:ascii="宋体" w:hAnsi="宋体" w:cs="宋体"/>
        </w:rPr>
        <w:t>），</w:t>
      </w:r>
      <w:r>
        <w:rPr>
          <w:rFonts w:hint="eastAsia" w:eastAsia="Cambria"/>
        </w:rPr>
        <w:t xml:space="preserve"> 10-0-13 </w:t>
      </w:r>
      <w:r>
        <w:rPr>
          <w:rFonts w:hint="eastAsia" w:ascii="宋体" w:hAnsi="宋体" w:cs="宋体"/>
        </w:rPr>
        <w:t>（</w:t>
      </w:r>
      <w:r>
        <w:rPr>
          <w:rFonts w:hint="eastAsia" w:eastAsia="Cambria"/>
        </w:rPr>
        <w:t>1.0.9</w:t>
      </w:r>
      <w:r>
        <w:rPr>
          <w:rFonts w:hint="eastAsia" w:ascii="宋体" w:hAnsi="宋体" w:cs="宋体"/>
        </w:rPr>
        <w:t>、</w:t>
      </w:r>
      <w:r>
        <w:rPr>
          <w:rFonts w:hint="eastAsia" w:eastAsia="Cambria"/>
        </w:rPr>
        <w:t>3.2.1</w:t>
      </w:r>
      <w:r>
        <w:rPr>
          <w:rFonts w:hint="eastAsia" w:ascii="宋体" w:hAnsi="宋体" w:cs="宋体"/>
        </w:rPr>
        <w:t>、</w:t>
      </w:r>
      <w:r>
        <w:rPr>
          <w:rFonts w:hint="eastAsia" w:eastAsia="Cambria"/>
        </w:rPr>
        <w:t>3.3.4</w:t>
      </w:r>
      <w:r>
        <w:rPr>
          <w:rFonts w:hint="eastAsia" w:ascii="宋体" w:hAnsi="宋体" w:cs="宋体"/>
        </w:rPr>
        <w:t>、</w:t>
      </w:r>
      <w:r>
        <w:rPr>
          <w:rFonts w:hint="eastAsia" w:eastAsia="Cambria"/>
        </w:rPr>
        <w:t xml:space="preserve"> 5.4.7</w:t>
      </w:r>
      <w:r>
        <w:rPr>
          <w:rFonts w:hint="eastAsia" w:ascii="宋体" w:hAnsi="宋体" w:cs="宋体"/>
        </w:rPr>
        <w:t>、</w:t>
      </w:r>
      <w:r>
        <w:rPr>
          <w:rFonts w:hint="eastAsia" w:eastAsia="Cambria"/>
        </w:rPr>
        <w:t>6.2.1</w:t>
      </w:r>
      <w:r>
        <w:rPr>
          <w:rFonts w:hint="eastAsia" w:ascii="宋体" w:hAnsi="宋体" w:cs="宋体"/>
        </w:rPr>
        <w:t>），</w:t>
      </w:r>
      <w:r>
        <w:rPr>
          <w:rFonts w:hint="eastAsia" w:eastAsia="Cambria"/>
        </w:rPr>
        <w:t>10-0-15</w:t>
      </w:r>
      <w:r>
        <w:rPr>
          <w:rFonts w:hint="eastAsia" w:ascii="宋体" w:hAnsi="宋体" w:cs="宋体"/>
        </w:rPr>
        <w:t>（</w:t>
      </w:r>
      <w:r>
        <w:rPr>
          <w:rFonts w:hint="eastAsia" w:eastAsia="Cambria"/>
        </w:rPr>
        <w:t>2.0.9</w:t>
      </w:r>
      <w:r>
        <w:rPr>
          <w:rFonts w:hint="eastAsia" w:ascii="宋体" w:hAnsi="宋体" w:cs="宋体"/>
        </w:rPr>
        <w:t>、</w:t>
      </w:r>
      <w:r>
        <w:rPr>
          <w:rFonts w:hint="eastAsia" w:eastAsia="Cambria"/>
        </w:rPr>
        <w:t xml:space="preserve"> 2.0.10</w:t>
      </w:r>
      <w:r>
        <w:rPr>
          <w:rFonts w:hint="eastAsia" w:ascii="宋体" w:hAnsi="宋体" w:cs="宋体"/>
        </w:rPr>
        <w:t>、</w:t>
      </w:r>
      <w:r>
        <w:rPr>
          <w:rFonts w:hint="eastAsia" w:eastAsia="Cambria"/>
        </w:rPr>
        <w:t>2.0.16</w:t>
      </w:r>
      <w:r>
        <w:rPr>
          <w:rFonts w:hint="eastAsia" w:ascii="宋体" w:hAnsi="宋体" w:cs="宋体"/>
        </w:rPr>
        <w:t>、</w:t>
      </w:r>
      <w:r>
        <w:rPr>
          <w:rFonts w:hint="eastAsia" w:eastAsia="Cambria"/>
        </w:rPr>
        <w:t>2.0.20</w:t>
      </w:r>
      <w:r>
        <w:rPr>
          <w:rFonts w:hint="eastAsia" w:ascii="宋体" w:hAnsi="宋体" w:cs="宋体"/>
        </w:rPr>
        <w:t>、</w:t>
      </w:r>
      <w:r>
        <w:rPr>
          <w:rFonts w:hint="eastAsia" w:eastAsia="Cambria"/>
        </w:rPr>
        <w:t>2.0.26</w:t>
      </w:r>
      <w:r>
        <w:rPr>
          <w:rFonts w:hint="eastAsia" w:ascii="宋体" w:hAnsi="宋体" w:cs="宋体"/>
        </w:rPr>
        <w:t>、</w:t>
      </w:r>
      <w:r>
        <w:rPr>
          <w:rFonts w:hint="eastAsia" w:eastAsia="Cambria"/>
        </w:rPr>
        <w:t>3.7.13</w:t>
      </w:r>
      <w:r>
        <w:rPr>
          <w:rFonts w:hint="eastAsia" w:ascii="宋体" w:hAnsi="宋体" w:cs="宋体"/>
        </w:rPr>
        <w:t>），</w:t>
      </w:r>
      <w:r>
        <w:rPr>
          <w:rFonts w:hint="eastAsia" w:eastAsia="Cambria"/>
        </w:rPr>
        <w:t xml:space="preserve">11-0-1 </w:t>
      </w:r>
      <w:r>
        <w:rPr>
          <w:rFonts w:hint="eastAsia" w:ascii="宋体" w:hAnsi="宋体" w:cs="宋体"/>
        </w:rPr>
        <w:t>（</w:t>
      </w:r>
      <w:r>
        <w:rPr>
          <w:rFonts w:hint="eastAsia" w:eastAsia="Cambria"/>
        </w:rPr>
        <w:t>5.7.1</w:t>
      </w:r>
      <w:r>
        <w:rPr>
          <w:rFonts w:hint="eastAsia" w:ascii="宋体" w:hAnsi="宋体" w:cs="宋体"/>
        </w:rPr>
        <w:t>、</w:t>
      </w:r>
      <w:r>
        <w:rPr>
          <w:rFonts w:hint="eastAsia" w:eastAsia="Cambria"/>
        </w:rPr>
        <w:t>5.7.2</w:t>
      </w:r>
      <w:r>
        <w:rPr>
          <w:rFonts w:hint="eastAsia" w:ascii="宋体" w:hAnsi="宋体" w:cs="宋体"/>
        </w:rPr>
        <w:t>、</w:t>
      </w:r>
      <w:r>
        <w:rPr>
          <w:rFonts w:hint="eastAsia" w:eastAsia="Cambria"/>
        </w:rPr>
        <w:t>5.7.3</w:t>
      </w:r>
      <w:r>
        <w:rPr>
          <w:rFonts w:hint="eastAsia" w:ascii="宋体" w:hAnsi="宋体" w:cs="宋体"/>
        </w:rPr>
        <w:t>、</w:t>
      </w:r>
      <w:r>
        <w:rPr>
          <w:rFonts w:hint="eastAsia" w:eastAsia="Cambria"/>
        </w:rPr>
        <w:t>5.9.2</w:t>
      </w:r>
      <w:r>
        <w:rPr>
          <w:rFonts w:hint="eastAsia" w:ascii="宋体" w:hAnsi="宋体" w:cs="宋体"/>
        </w:rPr>
        <w:t>），</w:t>
      </w:r>
      <w:r>
        <w:rPr>
          <w:rFonts w:hint="eastAsia" w:eastAsia="Cambria"/>
        </w:rPr>
        <w:t>11-0-3</w:t>
      </w:r>
      <w:r>
        <w:rPr>
          <w:rFonts w:hint="eastAsia" w:ascii="宋体" w:hAnsi="宋体" w:cs="宋体"/>
        </w:rPr>
        <w:t>（</w:t>
      </w:r>
      <w:r>
        <w:rPr>
          <w:rFonts w:hint="eastAsia" w:eastAsia="Cambria"/>
        </w:rPr>
        <w:t>10.0.1</w:t>
      </w:r>
      <w:r>
        <w:rPr>
          <w:rFonts w:hint="eastAsia" w:ascii="宋体" w:hAnsi="宋体" w:cs="宋体"/>
        </w:rPr>
        <w:t>、</w:t>
      </w:r>
      <w:r>
        <w:rPr>
          <w:rFonts w:hint="eastAsia" w:eastAsia="Cambria"/>
        </w:rPr>
        <w:t>10.0.4</w:t>
      </w:r>
      <w:r>
        <w:rPr>
          <w:rFonts w:hint="eastAsia" w:ascii="宋体" w:hAnsi="宋体" w:cs="宋体"/>
        </w:rPr>
        <w:t>、</w:t>
      </w:r>
      <w:r>
        <w:rPr>
          <w:rFonts w:hint="eastAsia" w:eastAsia="Cambria"/>
        </w:rPr>
        <w:t>11.0.1</w:t>
      </w:r>
      <w:r>
        <w:rPr>
          <w:rFonts w:hint="eastAsia" w:ascii="宋体" w:hAnsi="宋体" w:cs="宋体"/>
        </w:rPr>
        <w:t>、</w:t>
      </w:r>
      <w:r>
        <w:rPr>
          <w:rFonts w:hint="eastAsia" w:eastAsia="Cambria"/>
        </w:rPr>
        <w:t>11.0.4</w:t>
      </w:r>
      <w:r>
        <w:rPr>
          <w:rFonts w:hint="eastAsia" w:ascii="宋体" w:hAnsi="宋体" w:cs="宋体"/>
        </w:rPr>
        <w:t>），</w:t>
      </w:r>
      <w:r>
        <w:rPr>
          <w:rFonts w:hint="eastAsia" w:eastAsia="Cambria"/>
        </w:rPr>
        <w:t>11-0-4</w:t>
      </w:r>
      <w:r>
        <w:rPr>
          <w:rFonts w:hint="eastAsia" w:ascii="宋体" w:hAnsi="宋体" w:cs="宋体"/>
        </w:rPr>
        <w:t>（</w:t>
      </w:r>
      <w:r>
        <w:rPr>
          <w:rFonts w:hint="eastAsia" w:eastAsia="Cambria"/>
        </w:rPr>
        <w:t>3.4.2</w:t>
      </w:r>
      <w:r>
        <w:rPr>
          <w:rFonts w:hint="eastAsia" w:ascii="宋体" w:hAnsi="宋体" w:cs="宋体"/>
        </w:rPr>
        <w:t>、</w:t>
      </w:r>
      <w:r>
        <w:rPr>
          <w:rFonts w:hint="eastAsia" w:eastAsia="Cambria"/>
        </w:rPr>
        <w:t>3.4.4</w:t>
      </w:r>
      <w:r>
        <w:rPr>
          <w:rFonts w:hint="eastAsia" w:ascii="宋体" w:hAnsi="宋体" w:cs="宋体"/>
        </w:rPr>
        <w:t>、</w:t>
      </w:r>
      <w:r>
        <w:rPr>
          <w:rFonts w:hint="eastAsia" w:eastAsia="Cambria"/>
        </w:rPr>
        <w:t xml:space="preserve"> 3.4.6</w:t>
      </w:r>
      <w:r>
        <w:rPr>
          <w:rFonts w:hint="eastAsia" w:ascii="宋体" w:hAnsi="宋体" w:cs="宋体"/>
        </w:rPr>
        <w:t>、</w:t>
      </w:r>
      <w:r>
        <w:rPr>
          <w:rFonts w:hint="eastAsia" w:eastAsia="Cambria"/>
        </w:rPr>
        <w:t xml:space="preserve"> 3.4.11.</w:t>
      </w:r>
      <w:r>
        <w:rPr>
          <w:rFonts w:hint="eastAsia" w:ascii="宋体" w:hAnsi="宋体" w:cs="宋体"/>
        </w:rPr>
        <w:t>、</w:t>
      </w:r>
      <w:r>
        <w:rPr>
          <w:rFonts w:hint="eastAsia" w:eastAsia="Cambria"/>
        </w:rPr>
        <w:t>4.7.1</w:t>
      </w:r>
      <w:r>
        <w:rPr>
          <w:rFonts w:hint="eastAsia" w:ascii="宋体" w:hAnsi="宋体" w:cs="宋体"/>
        </w:rPr>
        <w:t>）。</w:t>
      </w:r>
    </w:p>
    <w:p>
      <w:pPr>
        <w:ind w:firstLine="480"/>
        <w:jc w:val="left"/>
      </w:pPr>
      <w:r>
        <w:rPr>
          <w:rFonts w:hint="eastAsia"/>
        </w:rPr>
        <w:t>6、工程施工还应满足以下相关文件要求</w:t>
      </w:r>
    </w:p>
    <w:p>
      <w:pPr>
        <w:ind w:firstLine="480"/>
        <w:jc w:val="left"/>
      </w:pPr>
      <w:r>
        <w:rPr>
          <w:rFonts w:hint="eastAsia"/>
        </w:rPr>
        <w:t>①《加强混凝土裂缝预控、监测和修补的若干意见》（苏水基〔2007〕21号）；</w:t>
      </w:r>
    </w:p>
    <w:p>
      <w:pPr>
        <w:ind w:firstLine="480"/>
        <w:jc w:val="left"/>
      </w:pPr>
      <w:r>
        <w:rPr>
          <w:rFonts w:hint="eastAsia"/>
        </w:rPr>
        <w:t>②《加强水利工程建设金属结构和机电设备质量管理的若干意见》（苏水基〔2008〕31号）；</w:t>
      </w:r>
    </w:p>
    <w:p>
      <w:pPr>
        <w:ind w:firstLine="480"/>
        <w:jc w:val="left"/>
      </w:pPr>
      <w:r>
        <w:rPr>
          <w:rFonts w:hint="eastAsia"/>
        </w:rPr>
        <w:t>③《加强水工建筑物止水和伸缩缝施工质量管理的若干意见》（苏水质监〔2009〕21号）；</w:t>
      </w:r>
    </w:p>
    <w:p>
      <w:pPr>
        <w:ind w:firstLine="480"/>
        <w:jc w:val="left"/>
      </w:pPr>
      <w:r>
        <w:rPr>
          <w:rFonts w:hint="eastAsia"/>
        </w:rPr>
        <w:t>④《加强铸铁闸门和启闭机质量管理的若干意见》（苏水基〔2010〕37号）；</w:t>
      </w:r>
    </w:p>
    <w:p>
      <w:pPr>
        <w:ind w:firstLine="480"/>
        <w:jc w:val="left"/>
      </w:pPr>
      <w:r>
        <w:rPr>
          <w:rFonts w:hint="eastAsia"/>
        </w:rPr>
        <w:t>⑤《关于进一步加强土方工程质量管理的通知》（苏水基〔2013〕17号）；</w:t>
      </w:r>
    </w:p>
    <w:p>
      <w:pPr>
        <w:ind w:firstLine="480"/>
        <w:jc w:val="left"/>
      </w:pPr>
      <w:r>
        <w:rPr>
          <w:rFonts w:hint="eastAsia"/>
        </w:rPr>
        <w:t>⑥《加强钢筋制作安装质量管理的意见》（苏水基〔2020〕2号）。</w:t>
      </w:r>
    </w:p>
    <w:p>
      <w:pPr>
        <w:pStyle w:val="5"/>
      </w:pPr>
      <w:r>
        <w:t>7.</w:t>
      </w:r>
      <w:r>
        <w:rPr>
          <w:rFonts w:hint="eastAsia"/>
          <w:lang w:val="en-US" w:eastAsia="zh-CN"/>
        </w:rPr>
        <w:t>8</w:t>
      </w:r>
      <w:r>
        <w:t>其它注意事项</w:t>
      </w:r>
    </w:p>
    <w:p>
      <w:pPr>
        <w:ind w:firstLine="480"/>
      </w:pPr>
      <w:r>
        <w:t>1、本说明是施工图的重要组成部分，与施工图对照阅读，互为补充，为完整理解设计意图，投标人应组织相关专业技术人员认真阅读和消化。施工图中文字说明是对施工图的进一步补充，阅读图纸时应留意文字说明，不可忽略。如发现有矛盾或不一致时，应及时会商解决。</w:t>
      </w:r>
    </w:p>
    <w:p>
      <w:pPr>
        <w:ind w:firstLine="480"/>
      </w:pPr>
      <w:r>
        <w:t>2、因施工方案调整而引起的变更，承包人应在事先征询并获得参建和主管单位同意变更的意见或通过专题评审后，再由施工承包人按施工联系单方式，申请并提交设计变更，监理审核、设计单位复核、最终报业主批准后实施。</w:t>
      </w:r>
    </w:p>
    <w:p>
      <w:pPr>
        <w:ind w:firstLine="480"/>
      </w:pPr>
      <w:r>
        <w:t>3、土方工程开挖前应结合场地清理，全面排查摸清施工场地范围内燃气、市政管道、供电线路等管线的布置情况。施工单位应采取合理的施工措施，避开对管线的干扰，并制定相关安全预案以保证施工设备和人员的安全。当采取措施后，依然影响工程施工时，须会同参建各方，确定是否采取变更调整后方可继续作业。</w:t>
      </w:r>
    </w:p>
    <w:p>
      <w:pPr>
        <w:ind w:firstLine="480"/>
      </w:pPr>
      <w:r>
        <w:t>4、本工程涉及专业、部门较多，施工中应注意专业间和部门间的协作、联系和衔接，提前安排落实各种预埋件的施工准备工作和专业衔接，切勿发生施工遗漏事件。</w:t>
      </w:r>
    </w:p>
    <w:p>
      <w:pPr>
        <w:ind w:firstLine="480"/>
      </w:pPr>
      <w:r>
        <w:t>5、施工时，对安全、劳动保护、防水、防火和环境保护等方面，应按有关规定执行。</w:t>
      </w:r>
    </w:p>
    <w:p>
      <w:pPr>
        <w:ind w:firstLine="480"/>
      </w:pPr>
      <w:r>
        <w:rPr>
          <w:rFonts w:hint="eastAsia"/>
          <w:lang w:val="en-US" w:eastAsia="zh-CN"/>
        </w:rPr>
        <w:t>6</w:t>
      </w:r>
      <w:r>
        <w:t>、施工单位应具有水利行业的相应资质。</w:t>
      </w:r>
    </w:p>
    <w:p>
      <w:pPr>
        <w:ind w:firstLine="480"/>
      </w:pPr>
      <w:r>
        <w:rPr>
          <w:rFonts w:hint="eastAsia"/>
          <w:lang w:val="en-US" w:eastAsia="zh-CN"/>
        </w:rPr>
        <w:t>7</w:t>
      </w:r>
      <w:r>
        <w:t>、</w:t>
      </w:r>
      <w:r>
        <w:rPr>
          <w:rFonts w:hint="eastAsia"/>
          <w:lang w:val="en-US" w:eastAsia="zh-CN"/>
        </w:rPr>
        <w:t>管道接口等配件由专业厂家配套，管道与规划建筑物交叉处，应先进行管道埋设，埋设高程可根据建筑物底板底高程进行适当调整。</w:t>
      </w:r>
    </w:p>
    <w:p>
      <w:pPr>
        <w:ind w:firstLine="480"/>
      </w:pPr>
      <w:r>
        <w:rPr>
          <w:rFonts w:hint="eastAsia"/>
          <w:lang w:val="en-US" w:eastAsia="zh-CN"/>
        </w:rPr>
        <w:t>8</w:t>
      </w:r>
      <w:r>
        <w:t>、本工程弃渣位置由业主指定。进场道路基本采用现状已有交通干道，局部需新建临时交通便道，临时道路可采用3.5m宽泥结碎石道路，路面厚度15cm。</w:t>
      </w:r>
      <w:bookmarkStart w:id="4" w:name="_GoBack"/>
      <w:bookmarkEnd w:id="4"/>
    </w:p>
    <w:p>
      <w:pPr>
        <w:ind w:firstLine="480"/>
      </w:pPr>
      <w:r>
        <w:rPr>
          <w:rFonts w:hint="eastAsia"/>
          <w:lang w:val="en-US" w:eastAsia="zh-CN"/>
        </w:rPr>
        <w:t>9</w:t>
      </w:r>
      <w:r>
        <w:t>、施工中发现其它问题和图中未尽事宜，请及时与我公司联系，以便会同研究处理。</w:t>
      </w:r>
    </w:p>
    <w:p>
      <w:pPr>
        <w:pStyle w:val="2"/>
      </w:pPr>
    </w:p>
    <w:sectPr>
      <w:headerReference r:id="rId7" w:type="first"/>
      <w:footerReference r:id="rId10" w:type="first"/>
      <w:headerReference r:id="rId5" w:type="default"/>
      <w:footerReference r:id="rId8" w:type="default"/>
      <w:headerReference r:id="rId6" w:type="even"/>
      <w:footerReference r:id="rId9" w:type="even"/>
      <w:pgSz w:w="23814" w:h="16840" w:orient="landscape"/>
      <w:pgMar w:top="1701" w:right="1701" w:bottom="1701" w:left="1701" w:header="851" w:footer="992" w:gutter="0"/>
      <w:pgNumType w:start="1"/>
      <w:cols w:space="2100"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9"/>
      <w:tblW w:w="20362" w:type="dxa"/>
      <w:tblInd w:w="108"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362"/>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70" w:hRule="atLeast"/>
      </w:trPr>
      <w:tc>
        <w:tcPr>
          <w:tcW w:w="20362" w:type="dxa"/>
        </w:tcPr>
        <w:p>
          <w:pPr>
            <w:pStyle w:val="14"/>
            <w:ind w:firstLine="480"/>
            <w:rPr>
              <w:sz w:val="24"/>
            </w:rPr>
          </w:pPr>
        </w:p>
      </w:tc>
    </w:tr>
  </w:tbl>
  <w:p>
    <w:pPr>
      <w:pStyle w:val="14"/>
      <w:ind w:firstLine="0" w:firstLineChars="0"/>
    </w:pPr>
    <w:r>
      <w:rPr>
        <w:rFonts w:hint="eastAsia"/>
        <w:sz w:val="24"/>
      </w:rPr>
      <w:t>扬州市勘测设计研究院有限公司</w:t>
    </w:r>
    <w:r>
      <w:rPr>
        <w:sz w:val="24"/>
      </w:rPr>
      <w:t xml:space="preserve">                                                                            </w:t>
    </w:r>
    <w:r>
      <w:rPr>
        <w:rFonts w:hint="eastAsia" w:ascii="宋体" w:hAnsi="宋体"/>
        <w:sz w:val="24"/>
      </w:rPr>
      <w:t xml:space="preserve">编制：         校核：         审查：         核定：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ind w:firstLine="360"/>
      <w:rPr>
        <w:rStyle w:val="22"/>
      </w:rPr>
    </w:pPr>
    <w:r>
      <w:rPr>
        <w:rStyle w:val="22"/>
      </w:rPr>
      <w:fldChar w:fldCharType="begin"/>
    </w:r>
    <w:r>
      <w:rPr>
        <w:rStyle w:val="22"/>
      </w:rPr>
      <w:instrText xml:space="preserve">PAGE  </w:instrText>
    </w:r>
    <w:r>
      <w:rPr>
        <w:rStyle w:val="22"/>
      </w:rPr>
      <w:fldChar w:fldCharType="end"/>
    </w:r>
  </w:p>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240" w:lineRule="auto"/>
      <w:ind w:left="120" w:hanging="120" w:hangingChars="50"/>
      <w:jc w:val="both"/>
    </w:pPr>
    <w:r>
      <w:rPr>
        <w:rFonts w:hint="eastAsia"/>
        <w:sz w:val="24"/>
      </w:rPr>
      <w:t xml:space="preserve">扬州市西区新城蜀冈冲末段水系整治工程 　　　 </w:t>
    </w: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sz w:val="24"/>
      </w:rPr>
      <w:t xml:space="preserve">   </w:t>
    </w:r>
    <w:r>
      <w:rPr>
        <w:rFonts w:hint="eastAsia"/>
        <w:sz w:val="24"/>
      </w:rPr>
      <w:t xml:space="preserve"> </w:t>
    </w:r>
    <w:r>
      <w:rPr>
        <w:rFonts w:hint="eastAsia" w:eastAsia="黑体"/>
        <w:bCs/>
        <w:sz w:val="36"/>
      </w:rPr>
      <w:t xml:space="preserve">设　计　说　明 </w:t>
    </w:r>
    <w:r>
      <w:rPr>
        <w:rFonts w:hint="eastAsia"/>
        <w:sz w:val="44"/>
      </w:rPr>
      <w:t xml:space="preserve">    </w:t>
    </w:r>
    <w:r>
      <w:rPr>
        <w:sz w:val="44"/>
      </w:rPr>
      <w:t xml:space="preserve"> </w:t>
    </w:r>
    <w:r>
      <w:rPr>
        <w:rFonts w:hint="eastAsia"/>
        <w:sz w:val="44"/>
      </w:rPr>
      <w:t xml:space="preserve">  </w:t>
    </w:r>
    <w:r>
      <w:rPr>
        <w:rFonts w:hint="eastAsia"/>
        <w:sz w:val="44"/>
        <w:lang w:val="en-US" w:eastAsia="zh-CN"/>
      </w:rPr>
      <w:t xml:space="preserve">   </w:t>
    </w:r>
    <w:r>
      <w:rPr>
        <w:rFonts w:hint="eastAsia"/>
        <w:sz w:val="44"/>
      </w:rPr>
      <w:t xml:space="preserve">  </w:t>
    </w:r>
    <w:r>
      <w:rPr>
        <w:sz w:val="44"/>
      </w:rPr>
      <w:t xml:space="preserve">   </w:t>
    </w:r>
    <w:r>
      <w:rPr>
        <w:rFonts w:hint="eastAsia"/>
        <w:sz w:val="44"/>
      </w:rPr>
      <w:t xml:space="preserve">  </w:t>
    </w:r>
    <w:r>
      <w:rPr>
        <w:sz w:val="44"/>
      </w:rPr>
      <w:t xml:space="preserve">           </w:t>
    </w:r>
    <w:r>
      <w:rPr>
        <w:rFonts w:hint="eastAsia"/>
        <w:sz w:val="24"/>
      </w:rPr>
      <w:t xml:space="preserve"> 第</w:t>
    </w:r>
    <w:r>
      <w:rPr>
        <w:sz w:val="24"/>
      </w:rPr>
      <w:t xml:space="preserve"> </w:t>
    </w:r>
    <w:r>
      <w:rPr>
        <w:rStyle w:val="22"/>
        <w:sz w:val="24"/>
      </w:rPr>
      <w:fldChar w:fldCharType="begin"/>
    </w:r>
    <w:r>
      <w:rPr>
        <w:rStyle w:val="22"/>
        <w:sz w:val="24"/>
      </w:rPr>
      <w:instrText xml:space="preserve"> PAGE </w:instrText>
    </w:r>
    <w:r>
      <w:rPr>
        <w:rStyle w:val="22"/>
        <w:sz w:val="24"/>
      </w:rPr>
      <w:fldChar w:fldCharType="separate"/>
    </w:r>
    <w:r>
      <w:rPr>
        <w:rStyle w:val="22"/>
        <w:sz w:val="24"/>
      </w:rPr>
      <w:t>26</w:t>
    </w:r>
    <w:r>
      <w:rPr>
        <w:rStyle w:val="22"/>
        <w:sz w:val="24"/>
      </w:rPr>
      <w:fldChar w:fldCharType="end"/>
    </w:r>
    <w:r>
      <w:rPr>
        <w:rStyle w:val="22"/>
        <w:sz w:val="24"/>
      </w:rPr>
      <w:t xml:space="preserve"> </w:t>
    </w:r>
    <w:r>
      <w:rPr>
        <w:rFonts w:hint="eastAsia"/>
        <w:sz w:val="24"/>
      </w:rPr>
      <w:t xml:space="preserve">页  共 </w:t>
    </w:r>
    <w:r>
      <w:rPr>
        <w:rFonts w:hint="eastAsia"/>
        <w:sz w:val="24"/>
        <w:lang w:val="en-US" w:eastAsia="zh-CN"/>
      </w:rPr>
      <w:t>9</w:t>
    </w:r>
    <w:r>
      <w:rPr>
        <w:rFonts w:hint="eastAsia"/>
        <w:sz w:val="24"/>
      </w:rPr>
      <w:t xml:space="preserve"> 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EE2127"/>
    <w:multiLevelType w:val="singleLevel"/>
    <w:tmpl w:val="1FEE2127"/>
    <w:lvl w:ilvl="0" w:tentative="0">
      <w:start w:val="1"/>
      <w:numFmt w:val="decimal"/>
      <w:suff w:val="nothing"/>
      <w:lvlText w:val="%1、"/>
      <w:lvlJc w:val="left"/>
    </w:lvl>
  </w:abstractNum>
  <w:abstractNum w:abstractNumId="1">
    <w:nsid w:val="5B3A5678"/>
    <w:multiLevelType w:val="singleLevel"/>
    <w:tmpl w:val="5B3A567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QxYjkxMDcxNjIwMmQ1OTYwMGI3NTYzODMxY2FlODMifQ=="/>
  </w:docVars>
  <w:rsids>
    <w:rsidRoot w:val="00E11772"/>
    <w:rsid w:val="00014399"/>
    <w:rsid w:val="00020896"/>
    <w:rsid w:val="000272CA"/>
    <w:rsid w:val="00027C37"/>
    <w:rsid w:val="00032ABA"/>
    <w:rsid w:val="00060E91"/>
    <w:rsid w:val="0006144D"/>
    <w:rsid w:val="00062092"/>
    <w:rsid w:val="000670CB"/>
    <w:rsid w:val="00067915"/>
    <w:rsid w:val="0007244F"/>
    <w:rsid w:val="000740AA"/>
    <w:rsid w:val="000844C5"/>
    <w:rsid w:val="0008537C"/>
    <w:rsid w:val="00085C27"/>
    <w:rsid w:val="000935E6"/>
    <w:rsid w:val="000A03C7"/>
    <w:rsid w:val="000A17AD"/>
    <w:rsid w:val="000A4DCC"/>
    <w:rsid w:val="000B65C1"/>
    <w:rsid w:val="000C0A51"/>
    <w:rsid w:val="000D7655"/>
    <w:rsid w:val="000E04D8"/>
    <w:rsid w:val="000F5375"/>
    <w:rsid w:val="000F63BE"/>
    <w:rsid w:val="00107E6A"/>
    <w:rsid w:val="001105F0"/>
    <w:rsid w:val="00111F95"/>
    <w:rsid w:val="00126DE6"/>
    <w:rsid w:val="00130612"/>
    <w:rsid w:val="0013165D"/>
    <w:rsid w:val="00134681"/>
    <w:rsid w:val="00140E70"/>
    <w:rsid w:val="00144F55"/>
    <w:rsid w:val="00154B82"/>
    <w:rsid w:val="00154D2F"/>
    <w:rsid w:val="001555EA"/>
    <w:rsid w:val="00161EFE"/>
    <w:rsid w:val="00163B1F"/>
    <w:rsid w:val="00164353"/>
    <w:rsid w:val="00176A12"/>
    <w:rsid w:val="001806D9"/>
    <w:rsid w:val="001926BE"/>
    <w:rsid w:val="001966CE"/>
    <w:rsid w:val="001A374D"/>
    <w:rsid w:val="001B4F39"/>
    <w:rsid w:val="001C027B"/>
    <w:rsid w:val="001D1CC0"/>
    <w:rsid w:val="001D261F"/>
    <w:rsid w:val="001D52EA"/>
    <w:rsid w:val="001D600F"/>
    <w:rsid w:val="001F4C14"/>
    <w:rsid w:val="00200478"/>
    <w:rsid w:val="002010B4"/>
    <w:rsid w:val="00203814"/>
    <w:rsid w:val="002039C1"/>
    <w:rsid w:val="00216DE5"/>
    <w:rsid w:val="0022138B"/>
    <w:rsid w:val="002232F7"/>
    <w:rsid w:val="00231757"/>
    <w:rsid w:val="002317DB"/>
    <w:rsid w:val="00236219"/>
    <w:rsid w:val="0025196C"/>
    <w:rsid w:val="0025621F"/>
    <w:rsid w:val="00262997"/>
    <w:rsid w:val="002717F4"/>
    <w:rsid w:val="00273DA4"/>
    <w:rsid w:val="00275752"/>
    <w:rsid w:val="002824FD"/>
    <w:rsid w:val="00285DAF"/>
    <w:rsid w:val="00295DD9"/>
    <w:rsid w:val="002A44EA"/>
    <w:rsid w:val="002A5571"/>
    <w:rsid w:val="002A585F"/>
    <w:rsid w:val="002B4C34"/>
    <w:rsid w:val="002B6A4D"/>
    <w:rsid w:val="002C78D0"/>
    <w:rsid w:val="002D418A"/>
    <w:rsid w:val="002E6A5A"/>
    <w:rsid w:val="002F77D2"/>
    <w:rsid w:val="002F7BED"/>
    <w:rsid w:val="003019C9"/>
    <w:rsid w:val="00301B42"/>
    <w:rsid w:val="00313FA8"/>
    <w:rsid w:val="00315228"/>
    <w:rsid w:val="003169BE"/>
    <w:rsid w:val="00321060"/>
    <w:rsid w:val="00327052"/>
    <w:rsid w:val="00327C1E"/>
    <w:rsid w:val="00330FA8"/>
    <w:rsid w:val="00333510"/>
    <w:rsid w:val="00334E6D"/>
    <w:rsid w:val="003607BA"/>
    <w:rsid w:val="003651AD"/>
    <w:rsid w:val="00366B57"/>
    <w:rsid w:val="00366DAF"/>
    <w:rsid w:val="00373294"/>
    <w:rsid w:val="003732EC"/>
    <w:rsid w:val="00374A9B"/>
    <w:rsid w:val="00375334"/>
    <w:rsid w:val="003770FB"/>
    <w:rsid w:val="00380D31"/>
    <w:rsid w:val="00385395"/>
    <w:rsid w:val="003857A6"/>
    <w:rsid w:val="0039143F"/>
    <w:rsid w:val="0039180C"/>
    <w:rsid w:val="003A1FA1"/>
    <w:rsid w:val="003B00E7"/>
    <w:rsid w:val="003B0FCA"/>
    <w:rsid w:val="003B2FB3"/>
    <w:rsid w:val="003C057B"/>
    <w:rsid w:val="003E11E7"/>
    <w:rsid w:val="003E4EFB"/>
    <w:rsid w:val="003E6C9B"/>
    <w:rsid w:val="003F0619"/>
    <w:rsid w:val="003F12C8"/>
    <w:rsid w:val="003F4DC1"/>
    <w:rsid w:val="003F6BF4"/>
    <w:rsid w:val="004049DA"/>
    <w:rsid w:val="0040782B"/>
    <w:rsid w:val="0041166C"/>
    <w:rsid w:val="00412B1E"/>
    <w:rsid w:val="00413C54"/>
    <w:rsid w:val="004171AC"/>
    <w:rsid w:val="00420A41"/>
    <w:rsid w:val="00424D1D"/>
    <w:rsid w:val="004272EA"/>
    <w:rsid w:val="00440C11"/>
    <w:rsid w:val="00445411"/>
    <w:rsid w:val="00450CE1"/>
    <w:rsid w:val="004722A7"/>
    <w:rsid w:val="00480F92"/>
    <w:rsid w:val="00483968"/>
    <w:rsid w:val="00483EB4"/>
    <w:rsid w:val="0048434A"/>
    <w:rsid w:val="00484599"/>
    <w:rsid w:val="00492977"/>
    <w:rsid w:val="004969D9"/>
    <w:rsid w:val="00496D95"/>
    <w:rsid w:val="004B1AC9"/>
    <w:rsid w:val="004C7590"/>
    <w:rsid w:val="004D1983"/>
    <w:rsid w:val="004D235F"/>
    <w:rsid w:val="004D23F6"/>
    <w:rsid w:val="004D24EF"/>
    <w:rsid w:val="004E5FA1"/>
    <w:rsid w:val="004F325A"/>
    <w:rsid w:val="004F6773"/>
    <w:rsid w:val="005165D4"/>
    <w:rsid w:val="00527055"/>
    <w:rsid w:val="005334AB"/>
    <w:rsid w:val="00535356"/>
    <w:rsid w:val="005451FF"/>
    <w:rsid w:val="00550AA6"/>
    <w:rsid w:val="00551D81"/>
    <w:rsid w:val="00552FE4"/>
    <w:rsid w:val="00556AC4"/>
    <w:rsid w:val="00557651"/>
    <w:rsid w:val="0056350A"/>
    <w:rsid w:val="00566A53"/>
    <w:rsid w:val="00566BD4"/>
    <w:rsid w:val="00574800"/>
    <w:rsid w:val="00575583"/>
    <w:rsid w:val="005873C8"/>
    <w:rsid w:val="0059737B"/>
    <w:rsid w:val="005A07A6"/>
    <w:rsid w:val="005A54DD"/>
    <w:rsid w:val="005A6092"/>
    <w:rsid w:val="005B3BC1"/>
    <w:rsid w:val="005B7A37"/>
    <w:rsid w:val="005C18C4"/>
    <w:rsid w:val="005D7D7C"/>
    <w:rsid w:val="005E27DC"/>
    <w:rsid w:val="005E4017"/>
    <w:rsid w:val="005F63E0"/>
    <w:rsid w:val="005F7301"/>
    <w:rsid w:val="00603CF0"/>
    <w:rsid w:val="0060555F"/>
    <w:rsid w:val="0061111C"/>
    <w:rsid w:val="00615E39"/>
    <w:rsid w:val="0061733E"/>
    <w:rsid w:val="0063029C"/>
    <w:rsid w:val="006350AA"/>
    <w:rsid w:val="00635887"/>
    <w:rsid w:val="0065052D"/>
    <w:rsid w:val="0065255D"/>
    <w:rsid w:val="00660423"/>
    <w:rsid w:val="0066158E"/>
    <w:rsid w:val="00667A8A"/>
    <w:rsid w:val="006724A8"/>
    <w:rsid w:val="006740C8"/>
    <w:rsid w:val="00681CAF"/>
    <w:rsid w:val="006857E7"/>
    <w:rsid w:val="006B3136"/>
    <w:rsid w:val="006C42DA"/>
    <w:rsid w:val="006C6A88"/>
    <w:rsid w:val="006E2434"/>
    <w:rsid w:val="006E7982"/>
    <w:rsid w:val="006F629E"/>
    <w:rsid w:val="00703FC0"/>
    <w:rsid w:val="00707376"/>
    <w:rsid w:val="00714844"/>
    <w:rsid w:val="00717356"/>
    <w:rsid w:val="0073311F"/>
    <w:rsid w:val="00733F89"/>
    <w:rsid w:val="007367D2"/>
    <w:rsid w:val="00737905"/>
    <w:rsid w:val="00740DE3"/>
    <w:rsid w:val="00762FB7"/>
    <w:rsid w:val="0078131E"/>
    <w:rsid w:val="00783E55"/>
    <w:rsid w:val="00785296"/>
    <w:rsid w:val="00785842"/>
    <w:rsid w:val="007919F0"/>
    <w:rsid w:val="00792C52"/>
    <w:rsid w:val="00793F1A"/>
    <w:rsid w:val="007964CB"/>
    <w:rsid w:val="007A2FB8"/>
    <w:rsid w:val="007A45FD"/>
    <w:rsid w:val="007A62E9"/>
    <w:rsid w:val="007A730B"/>
    <w:rsid w:val="007B1B62"/>
    <w:rsid w:val="007B55BF"/>
    <w:rsid w:val="007B6394"/>
    <w:rsid w:val="007C536A"/>
    <w:rsid w:val="007D0527"/>
    <w:rsid w:val="007D1E35"/>
    <w:rsid w:val="007D35C8"/>
    <w:rsid w:val="007E05F5"/>
    <w:rsid w:val="007E68A5"/>
    <w:rsid w:val="007E728C"/>
    <w:rsid w:val="007F5F05"/>
    <w:rsid w:val="00800934"/>
    <w:rsid w:val="00805B68"/>
    <w:rsid w:val="0081222C"/>
    <w:rsid w:val="00812629"/>
    <w:rsid w:val="0081759A"/>
    <w:rsid w:val="00837ACE"/>
    <w:rsid w:val="00862D47"/>
    <w:rsid w:val="00870D0A"/>
    <w:rsid w:val="00874F50"/>
    <w:rsid w:val="00887C73"/>
    <w:rsid w:val="00891F43"/>
    <w:rsid w:val="008A063C"/>
    <w:rsid w:val="008A4B7F"/>
    <w:rsid w:val="008B071A"/>
    <w:rsid w:val="008B28D8"/>
    <w:rsid w:val="008C31A8"/>
    <w:rsid w:val="008E25EB"/>
    <w:rsid w:val="008E2DE1"/>
    <w:rsid w:val="008E6A18"/>
    <w:rsid w:val="008F7EEA"/>
    <w:rsid w:val="00905A2A"/>
    <w:rsid w:val="0090604D"/>
    <w:rsid w:val="0091076B"/>
    <w:rsid w:val="00914649"/>
    <w:rsid w:val="00920FF3"/>
    <w:rsid w:val="00921769"/>
    <w:rsid w:val="00921A2E"/>
    <w:rsid w:val="00922BAB"/>
    <w:rsid w:val="00942C47"/>
    <w:rsid w:val="00945426"/>
    <w:rsid w:val="009461B7"/>
    <w:rsid w:val="00947793"/>
    <w:rsid w:val="00947AC4"/>
    <w:rsid w:val="00951FCE"/>
    <w:rsid w:val="00961980"/>
    <w:rsid w:val="009666FF"/>
    <w:rsid w:val="00966AA7"/>
    <w:rsid w:val="00967A4C"/>
    <w:rsid w:val="00971503"/>
    <w:rsid w:val="0097515D"/>
    <w:rsid w:val="009828B9"/>
    <w:rsid w:val="00986850"/>
    <w:rsid w:val="00994C50"/>
    <w:rsid w:val="00996DA1"/>
    <w:rsid w:val="009A586A"/>
    <w:rsid w:val="009A6895"/>
    <w:rsid w:val="009B5051"/>
    <w:rsid w:val="009C2BC1"/>
    <w:rsid w:val="009C2D66"/>
    <w:rsid w:val="009C61F7"/>
    <w:rsid w:val="009D7142"/>
    <w:rsid w:val="009D7AAD"/>
    <w:rsid w:val="009D7F78"/>
    <w:rsid w:val="009F084B"/>
    <w:rsid w:val="009F50D3"/>
    <w:rsid w:val="009F6976"/>
    <w:rsid w:val="00A00B17"/>
    <w:rsid w:val="00A075A2"/>
    <w:rsid w:val="00A102D2"/>
    <w:rsid w:val="00A134BD"/>
    <w:rsid w:val="00A14732"/>
    <w:rsid w:val="00A1617E"/>
    <w:rsid w:val="00A228EA"/>
    <w:rsid w:val="00A30B5B"/>
    <w:rsid w:val="00A35ED3"/>
    <w:rsid w:val="00A37087"/>
    <w:rsid w:val="00A44DE5"/>
    <w:rsid w:val="00A45153"/>
    <w:rsid w:val="00A45830"/>
    <w:rsid w:val="00A51614"/>
    <w:rsid w:val="00A55237"/>
    <w:rsid w:val="00A56D22"/>
    <w:rsid w:val="00A57125"/>
    <w:rsid w:val="00A67EDE"/>
    <w:rsid w:val="00A754D0"/>
    <w:rsid w:val="00A83F21"/>
    <w:rsid w:val="00A85F85"/>
    <w:rsid w:val="00A92E98"/>
    <w:rsid w:val="00A97D22"/>
    <w:rsid w:val="00AA0E60"/>
    <w:rsid w:val="00AA3474"/>
    <w:rsid w:val="00AA65BB"/>
    <w:rsid w:val="00AD30AC"/>
    <w:rsid w:val="00AD666F"/>
    <w:rsid w:val="00AE5D94"/>
    <w:rsid w:val="00AF19A4"/>
    <w:rsid w:val="00AF54EC"/>
    <w:rsid w:val="00B0737F"/>
    <w:rsid w:val="00B07713"/>
    <w:rsid w:val="00B242E8"/>
    <w:rsid w:val="00B24924"/>
    <w:rsid w:val="00B25DA6"/>
    <w:rsid w:val="00B26929"/>
    <w:rsid w:val="00B313E3"/>
    <w:rsid w:val="00B36549"/>
    <w:rsid w:val="00B3730C"/>
    <w:rsid w:val="00B513FD"/>
    <w:rsid w:val="00B52D6C"/>
    <w:rsid w:val="00B5744C"/>
    <w:rsid w:val="00B5746D"/>
    <w:rsid w:val="00B60A51"/>
    <w:rsid w:val="00B73A34"/>
    <w:rsid w:val="00B777F9"/>
    <w:rsid w:val="00B8067A"/>
    <w:rsid w:val="00B91DB9"/>
    <w:rsid w:val="00B929C8"/>
    <w:rsid w:val="00B97E9D"/>
    <w:rsid w:val="00BA26DD"/>
    <w:rsid w:val="00BA5E13"/>
    <w:rsid w:val="00BA62C5"/>
    <w:rsid w:val="00BB2118"/>
    <w:rsid w:val="00BC14E1"/>
    <w:rsid w:val="00BC4F8E"/>
    <w:rsid w:val="00BD15E3"/>
    <w:rsid w:val="00BD7CE6"/>
    <w:rsid w:val="00BD7D16"/>
    <w:rsid w:val="00BF2280"/>
    <w:rsid w:val="00BF2CA4"/>
    <w:rsid w:val="00BF7D4C"/>
    <w:rsid w:val="00C03A5A"/>
    <w:rsid w:val="00C170A5"/>
    <w:rsid w:val="00C24F37"/>
    <w:rsid w:val="00C32EBC"/>
    <w:rsid w:val="00C333E7"/>
    <w:rsid w:val="00C3677A"/>
    <w:rsid w:val="00C444AB"/>
    <w:rsid w:val="00C57941"/>
    <w:rsid w:val="00C653E0"/>
    <w:rsid w:val="00C66E0E"/>
    <w:rsid w:val="00C73909"/>
    <w:rsid w:val="00C833FA"/>
    <w:rsid w:val="00C83E66"/>
    <w:rsid w:val="00C841C7"/>
    <w:rsid w:val="00C84739"/>
    <w:rsid w:val="00C92458"/>
    <w:rsid w:val="00C97C20"/>
    <w:rsid w:val="00CA62C2"/>
    <w:rsid w:val="00CA6EF6"/>
    <w:rsid w:val="00CC098B"/>
    <w:rsid w:val="00CC12C9"/>
    <w:rsid w:val="00CD0B8C"/>
    <w:rsid w:val="00CD2EA8"/>
    <w:rsid w:val="00CD5DA1"/>
    <w:rsid w:val="00CD71E7"/>
    <w:rsid w:val="00CF0D59"/>
    <w:rsid w:val="00D0517B"/>
    <w:rsid w:val="00D057B3"/>
    <w:rsid w:val="00D06C34"/>
    <w:rsid w:val="00D15175"/>
    <w:rsid w:val="00D154A5"/>
    <w:rsid w:val="00D24269"/>
    <w:rsid w:val="00D323AA"/>
    <w:rsid w:val="00D338F8"/>
    <w:rsid w:val="00D4596F"/>
    <w:rsid w:val="00D57BF3"/>
    <w:rsid w:val="00D61FE3"/>
    <w:rsid w:val="00D709D7"/>
    <w:rsid w:val="00D80ACF"/>
    <w:rsid w:val="00D93605"/>
    <w:rsid w:val="00D93F31"/>
    <w:rsid w:val="00D96845"/>
    <w:rsid w:val="00D972CB"/>
    <w:rsid w:val="00DA60D7"/>
    <w:rsid w:val="00DA725F"/>
    <w:rsid w:val="00DB6F17"/>
    <w:rsid w:val="00DC0004"/>
    <w:rsid w:val="00DC3168"/>
    <w:rsid w:val="00DD748E"/>
    <w:rsid w:val="00DE35EA"/>
    <w:rsid w:val="00DF4D21"/>
    <w:rsid w:val="00DF5995"/>
    <w:rsid w:val="00DF6346"/>
    <w:rsid w:val="00DF6358"/>
    <w:rsid w:val="00E0095A"/>
    <w:rsid w:val="00E11772"/>
    <w:rsid w:val="00E22AEA"/>
    <w:rsid w:val="00E31513"/>
    <w:rsid w:val="00E33030"/>
    <w:rsid w:val="00E422B2"/>
    <w:rsid w:val="00E55C02"/>
    <w:rsid w:val="00E567F5"/>
    <w:rsid w:val="00E57121"/>
    <w:rsid w:val="00E61677"/>
    <w:rsid w:val="00E6368F"/>
    <w:rsid w:val="00E74876"/>
    <w:rsid w:val="00E74D68"/>
    <w:rsid w:val="00E82C89"/>
    <w:rsid w:val="00E83663"/>
    <w:rsid w:val="00E836EB"/>
    <w:rsid w:val="00E86EE5"/>
    <w:rsid w:val="00E90296"/>
    <w:rsid w:val="00E959F3"/>
    <w:rsid w:val="00EA60CC"/>
    <w:rsid w:val="00EA6F6B"/>
    <w:rsid w:val="00EB3905"/>
    <w:rsid w:val="00EB4D53"/>
    <w:rsid w:val="00EC1670"/>
    <w:rsid w:val="00ED087E"/>
    <w:rsid w:val="00ED48C4"/>
    <w:rsid w:val="00ED6D56"/>
    <w:rsid w:val="00EE1F18"/>
    <w:rsid w:val="00EE2897"/>
    <w:rsid w:val="00EE783C"/>
    <w:rsid w:val="00EE7BA4"/>
    <w:rsid w:val="00F01C18"/>
    <w:rsid w:val="00F0707D"/>
    <w:rsid w:val="00F07AAA"/>
    <w:rsid w:val="00F12504"/>
    <w:rsid w:val="00F13B1B"/>
    <w:rsid w:val="00F2085F"/>
    <w:rsid w:val="00F36053"/>
    <w:rsid w:val="00F36A41"/>
    <w:rsid w:val="00F43D43"/>
    <w:rsid w:val="00F6152C"/>
    <w:rsid w:val="00F63DB3"/>
    <w:rsid w:val="00F6552C"/>
    <w:rsid w:val="00F81F18"/>
    <w:rsid w:val="00F8444C"/>
    <w:rsid w:val="00F86B0F"/>
    <w:rsid w:val="00F91BE1"/>
    <w:rsid w:val="00F96190"/>
    <w:rsid w:val="00F966DE"/>
    <w:rsid w:val="00FA1E60"/>
    <w:rsid w:val="00FA4A98"/>
    <w:rsid w:val="00FA68A8"/>
    <w:rsid w:val="00FA6A89"/>
    <w:rsid w:val="00FB1F8E"/>
    <w:rsid w:val="00FB3448"/>
    <w:rsid w:val="00FB34FA"/>
    <w:rsid w:val="00FB3ED3"/>
    <w:rsid w:val="00FB5518"/>
    <w:rsid w:val="00FB5618"/>
    <w:rsid w:val="00FC427E"/>
    <w:rsid w:val="00FC4E2E"/>
    <w:rsid w:val="00FD0574"/>
    <w:rsid w:val="00FE19C8"/>
    <w:rsid w:val="00FE46DF"/>
    <w:rsid w:val="00FF3055"/>
    <w:rsid w:val="00FF67E5"/>
    <w:rsid w:val="03F64E38"/>
    <w:rsid w:val="0525721D"/>
    <w:rsid w:val="06993234"/>
    <w:rsid w:val="0AEF700B"/>
    <w:rsid w:val="1017690E"/>
    <w:rsid w:val="13CE39F9"/>
    <w:rsid w:val="16603776"/>
    <w:rsid w:val="215542C4"/>
    <w:rsid w:val="24C5522B"/>
    <w:rsid w:val="27AE5FDD"/>
    <w:rsid w:val="2F0D020C"/>
    <w:rsid w:val="30D547B9"/>
    <w:rsid w:val="3622104D"/>
    <w:rsid w:val="36BC0E87"/>
    <w:rsid w:val="39D72E04"/>
    <w:rsid w:val="3A9B5CEF"/>
    <w:rsid w:val="3B4F5286"/>
    <w:rsid w:val="3E1D5B45"/>
    <w:rsid w:val="45B501B9"/>
    <w:rsid w:val="47DC1743"/>
    <w:rsid w:val="485879E8"/>
    <w:rsid w:val="48D26909"/>
    <w:rsid w:val="49D959FA"/>
    <w:rsid w:val="4E496FE2"/>
    <w:rsid w:val="4EA61E0C"/>
    <w:rsid w:val="502F6375"/>
    <w:rsid w:val="50CA794F"/>
    <w:rsid w:val="52F91F5F"/>
    <w:rsid w:val="534E622B"/>
    <w:rsid w:val="59216DBD"/>
    <w:rsid w:val="5A400A1C"/>
    <w:rsid w:val="5B1C156C"/>
    <w:rsid w:val="5CD461CF"/>
    <w:rsid w:val="5F5B4D85"/>
    <w:rsid w:val="64496FB7"/>
    <w:rsid w:val="64C9306E"/>
    <w:rsid w:val="690C3B69"/>
    <w:rsid w:val="6A6D762E"/>
    <w:rsid w:val="6AFD3BAD"/>
    <w:rsid w:val="6E6A5A62"/>
    <w:rsid w:val="71B70A56"/>
    <w:rsid w:val="730004AB"/>
    <w:rsid w:val="7C2E0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37"/>
    <w:qFormat/>
    <w:uiPriority w:val="0"/>
    <w:pPr>
      <w:keepNext/>
      <w:keepLines/>
      <w:spacing w:line="480" w:lineRule="auto"/>
      <w:ind w:firstLine="0" w:firstLineChars="0"/>
      <w:outlineLvl w:val="0"/>
    </w:pPr>
    <w:rPr>
      <w:b/>
      <w:bCs/>
      <w:kern w:val="44"/>
      <w:sz w:val="32"/>
      <w:szCs w:val="44"/>
    </w:rPr>
  </w:style>
  <w:style w:type="paragraph" w:styleId="5">
    <w:name w:val="heading 2"/>
    <w:basedOn w:val="1"/>
    <w:next w:val="1"/>
    <w:link w:val="38"/>
    <w:qFormat/>
    <w:uiPriority w:val="0"/>
    <w:pPr>
      <w:keepNext/>
      <w:keepLines/>
      <w:ind w:firstLine="0" w:firstLineChars="0"/>
      <w:outlineLvl w:val="1"/>
    </w:pPr>
    <w:rPr>
      <w:b/>
      <w:bCs/>
      <w:sz w:val="30"/>
      <w:szCs w:val="32"/>
    </w:rPr>
  </w:style>
  <w:style w:type="paragraph" w:styleId="6">
    <w:name w:val="heading 3"/>
    <w:basedOn w:val="1"/>
    <w:next w:val="1"/>
    <w:link w:val="35"/>
    <w:qFormat/>
    <w:uiPriority w:val="0"/>
    <w:pPr>
      <w:keepNext/>
      <w:keepLines/>
      <w:ind w:firstLine="0" w:firstLineChars="0"/>
      <w:outlineLvl w:val="2"/>
    </w:pPr>
    <w:rPr>
      <w:b/>
      <w:bCs/>
      <w:sz w:val="28"/>
      <w:szCs w:val="32"/>
    </w:rPr>
  </w:style>
  <w:style w:type="paragraph" w:styleId="7">
    <w:name w:val="heading 4"/>
    <w:basedOn w:val="1"/>
    <w:next w:val="1"/>
    <w:link w:val="36"/>
    <w:qFormat/>
    <w:uiPriority w:val="0"/>
    <w:pPr>
      <w:keepNext/>
      <w:keepLines/>
      <w:spacing w:before="280" w:after="290" w:line="376" w:lineRule="auto"/>
      <w:outlineLvl w:val="3"/>
    </w:pPr>
    <w:rPr>
      <w:rFonts w:ascii="Cambria" w:hAnsi="Cambria"/>
      <w:b/>
      <w:bCs/>
      <w:sz w:val="28"/>
      <w:szCs w:val="28"/>
    </w:rPr>
  </w:style>
  <w:style w:type="paragraph" w:styleId="8">
    <w:name w:val="heading 5"/>
    <w:basedOn w:val="1"/>
    <w:next w:val="1"/>
    <w:link w:val="59"/>
    <w:unhideWhenUsed/>
    <w:qFormat/>
    <w:uiPriority w:val="0"/>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pPr>
      <w:spacing w:after="120" w:line="240" w:lineRule="auto"/>
      <w:ind w:firstLine="0" w:firstLineChars="0"/>
    </w:pPr>
  </w:style>
  <w:style w:type="paragraph" w:styleId="3">
    <w:name w:val="Body Text Indent"/>
    <w:basedOn w:val="1"/>
    <w:uiPriority w:val="0"/>
    <w:pPr>
      <w:spacing w:after="120" w:line="240" w:lineRule="auto"/>
      <w:ind w:left="420" w:leftChars="200" w:firstLine="0" w:firstLineChars="0"/>
    </w:pPr>
    <w:rPr>
      <w:sz w:val="21"/>
    </w:rPr>
  </w:style>
  <w:style w:type="paragraph" w:styleId="9">
    <w:name w:val="Document Map"/>
    <w:basedOn w:val="1"/>
    <w:link w:val="29"/>
    <w:qFormat/>
    <w:uiPriority w:val="0"/>
    <w:rPr>
      <w:rFonts w:ascii="宋体"/>
      <w:sz w:val="18"/>
      <w:szCs w:val="18"/>
    </w:rPr>
  </w:style>
  <w:style w:type="paragraph" w:styleId="10">
    <w:name w:val="annotation text"/>
    <w:basedOn w:val="1"/>
    <w:link w:val="39"/>
    <w:semiHidden/>
    <w:qFormat/>
    <w:uiPriority w:val="0"/>
    <w:pPr>
      <w:jc w:val="left"/>
    </w:pPr>
  </w:style>
  <w:style w:type="paragraph" w:styleId="11">
    <w:name w:val="Date"/>
    <w:basedOn w:val="1"/>
    <w:next w:val="1"/>
    <w:link w:val="28"/>
    <w:qFormat/>
    <w:uiPriority w:val="0"/>
    <w:pPr>
      <w:ind w:left="100" w:leftChars="2500"/>
    </w:pPr>
  </w:style>
  <w:style w:type="paragraph" w:styleId="12">
    <w:name w:val="Body Text Indent 2"/>
    <w:basedOn w:val="1"/>
    <w:link w:val="42"/>
    <w:qFormat/>
    <w:uiPriority w:val="0"/>
    <w:pPr>
      <w:spacing w:after="120" w:line="480" w:lineRule="auto"/>
      <w:ind w:left="420" w:leftChars="200"/>
    </w:pPr>
    <w:rPr>
      <w:sz w:val="36"/>
      <w:szCs w:val="20"/>
    </w:rPr>
  </w:style>
  <w:style w:type="paragraph" w:styleId="13">
    <w:name w:val="Balloon Text"/>
    <w:basedOn w:val="1"/>
    <w:link w:val="30"/>
    <w:qFormat/>
    <w:uiPriority w:val="0"/>
    <w:rPr>
      <w:sz w:val="18"/>
      <w:szCs w:val="18"/>
    </w:rPr>
  </w:style>
  <w:style w:type="paragraph" w:styleId="14">
    <w:name w:val="footer"/>
    <w:basedOn w:val="1"/>
    <w:link w:val="27"/>
    <w:qFormat/>
    <w:uiPriority w:val="0"/>
    <w:pPr>
      <w:tabs>
        <w:tab w:val="center" w:pos="4153"/>
        <w:tab w:val="right" w:pos="8306"/>
      </w:tabs>
      <w:snapToGrid w:val="0"/>
      <w:jc w:val="left"/>
    </w:pPr>
    <w:rPr>
      <w:sz w:val="18"/>
      <w:szCs w:val="18"/>
    </w:rPr>
  </w:style>
  <w:style w:type="paragraph" w:styleId="15">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link w:val="49"/>
    <w:qFormat/>
    <w:uiPriority w:val="0"/>
    <w:pPr>
      <w:spacing w:after="120"/>
      <w:ind w:left="420" w:leftChars="200"/>
    </w:pPr>
    <w:rPr>
      <w:sz w:val="16"/>
      <w:szCs w:val="16"/>
    </w:rPr>
  </w:style>
  <w:style w:type="paragraph" w:styleId="17">
    <w:name w:val="Body Text 2"/>
    <w:basedOn w:val="1"/>
    <w:link w:val="47"/>
    <w:qFormat/>
    <w:uiPriority w:val="0"/>
    <w:pPr>
      <w:adjustRightInd w:val="0"/>
      <w:snapToGrid w:val="0"/>
      <w:jc w:val="center"/>
    </w:pPr>
  </w:style>
  <w:style w:type="paragraph" w:styleId="18">
    <w:name w:val="annotation subject"/>
    <w:basedOn w:val="10"/>
    <w:next w:val="10"/>
    <w:link w:val="40"/>
    <w:semiHidden/>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Emphasis"/>
    <w:basedOn w:val="21"/>
    <w:qFormat/>
    <w:uiPriority w:val="0"/>
    <w:rPr>
      <w:i/>
    </w:rPr>
  </w:style>
  <w:style w:type="character" w:styleId="24">
    <w:name w:val="Hyperlink"/>
    <w:basedOn w:val="21"/>
    <w:unhideWhenUsed/>
    <w:qFormat/>
    <w:uiPriority w:val="99"/>
    <w:rPr>
      <w:color w:val="0000FF"/>
      <w:u w:val="single"/>
    </w:rPr>
  </w:style>
  <w:style w:type="character" w:styleId="25">
    <w:name w:val="annotation reference"/>
    <w:semiHidden/>
    <w:qFormat/>
    <w:uiPriority w:val="0"/>
    <w:rPr>
      <w:sz w:val="21"/>
      <w:szCs w:val="21"/>
    </w:rPr>
  </w:style>
  <w:style w:type="character" w:customStyle="1" w:styleId="26">
    <w:name w:val="页眉 字符"/>
    <w:link w:val="15"/>
    <w:qFormat/>
    <w:uiPriority w:val="0"/>
    <w:rPr>
      <w:kern w:val="2"/>
      <w:sz w:val="18"/>
      <w:szCs w:val="18"/>
    </w:rPr>
  </w:style>
  <w:style w:type="character" w:customStyle="1" w:styleId="27">
    <w:name w:val="页脚 字符"/>
    <w:link w:val="14"/>
    <w:qFormat/>
    <w:uiPriority w:val="0"/>
    <w:rPr>
      <w:kern w:val="2"/>
      <w:sz w:val="18"/>
      <w:szCs w:val="18"/>
    </w:rPr>
  </w:style>
  <w:style w:type="character" w:customStyle="1" w:styleId="28">
    <w:name w:val="日期 字符"/>
    <w:link w:val="11"/>
    <w:qFormat/>
    <w:uiPriority w:val="0"/>
    <w:rPr>
      <w:kern w:val="2"/>
      <w:sz w:val="21"/>
      <w:szCs w:val="24"/>
    </w:rPr>
  </w:style>
  <w:style w:type="character" w:customStyle="1" w:styleId="29">
    <w:name w:val="文档结构图 字符"/>
    <w:link w:val="9"/>
    <w:qFormat/>
    <w:uiPriority w:val="0"/>
    <w:rPr>
      <w:rFonts w:ascii="宋体"/>
      <w:kern w:val="2"/>
      <w:sz w:val="18"/>
      <w:szCs w:val="18"/>
    </w:rPr>
  </w:style>
  <w:style w:type="character" w:customStyle="1" w:styleId="30">
    <w:name w:val="批注框文本 字符"/>
    <w:link w:val="13"/>
    <w:qFormat/>
    <w:uiPriority w:val="0"/>
    <w:rPr>
      <w:kern w:val="2"/>
      <w:sz w:val="18"/>
      <w:szCs w:val="18"/>
    </w:rPr>
  </w:style>
  <w:style w:type="character" w:customStyle="1" w:styleId="31">
    <w:name w:val="标题 1 字符"/>
    <w:basedOn w:val="21"/>
    <w:qFormat/>
    <w:uiPriority w:val="0"/>
    <w:rPr>
      <w:b/>
      <w:bCs/>
      <w:kern w:val="44"/>
      <w:sz w:val="44"/>
      <w:szCs w:val="44"/>
    </w:rPr>
  </w:style>
  <w:style w:type="character" w:customStyle="1" w:styleId="32">
    <w:name w:val="标题 2 字符"/>
    <w:basedOn w:val="21"/>
    <w:qFormat/>
    <w:uiPriority w:val="0"/>
    <w:rPr>
      <w:rFonts w:asciiTheme="majorHAnsi" w:hAnsiTheme="majorHAnsi" w:eastAsiaTheme="majorEastAsia" w:cstheme="majorBidi"/>
      <w:b/>
      <w:bCs/>
      <w:kern w:val="2"/>
      <w:sz w:val="32"/>
      <w:szCs w:val="32"/>
    </w:rPr>
  </w:style>
  <w:style w:type="character" w:customStyle="1" w:styleId="33">
    <w:name w:val="标题 3 字符"/>
    <w:basedOn w:val="21"/>
    <w:link w:val="6"/>
    <w:qFormat/>
    <w:uiPriority w:val="0"/>
    <w:rPr>
      <w:b/>
      <w:bCs/>
      <w:kern w:val="2"/>
      <w:sz w:val="32"/>
      <w:szCs w:val="32"/>
    </w:rPr>
  </w:style>
  <w:style w:type="character" w:customStyle="1" w:styleId="34">
    <w:name w:val="标题 4 字符"/>
    <w:basedOn w:val="21"/>
    <w:semiHidden/>
    <w:qFormat/>
    <w:uiPriority w:val="0"/>
    <w:rPr>
      <w:rFonts w:asciiTheme="majorHAnsi" w:hAnsiTheme="majorHAnsi" w:eastAsiaTheme="majorEastAsia" w:cstheme="majorBidi"/>
      <w:b/>
      <w:bCs/>
      <w:kern w:val="2"/>
      <w:sz w:val="28"/>
      <w:szCs w:val="28"/>
    </w:rPr>
  </w:style>
  <w:style w:type="character" w:customStyle="1" w:styleId="35">
    <w:name w:val="标题 3 字符1"/>
    <w:link w:val="6"/>
    <w:qFormat/>
    <w:uiPriority w:val="0"/>
    <w:rPr>
      <w:b/>
      <w:bCs/>
      <w:kern w:val="2"/>
      <w:sz w:val="28"/>
      <w:szCs w:val="32"/>
    </w:rPr>
  </w:style>
  <w:style w:type="character" w:customStyle="1" w:styleId="36">
    <w:name w:val="标题 4 字符1"/>
    <w:link w:val="7"/>
    <w:qFormat/>
    <w:uiPriority w:val="0"/>
    <w:rPr>
      <w:rFonts w:ascii="Cambria" w:hAnsi="Cambria"/>
      <w:b/>
      <w:bCs/>
      <w:kern w:val="2"/>
      <w:sz w:val="28"/>
      <w:szCs w:val="28"/>
    </w:rPr>
  </w:style>
  <w:style w:type="character" w:customStyle="1" w:styleId="37">
    <w:name w:val="标题 1 字符1"/>
    <w:link w:val="4"/>
    <w:qFormat/>
    <w:uiPriority w:val="0"/>
    <w:rPr>
      <w:b/>
      <w:bCs/>
      <w:kern w:val="44"/>
      <w:sz w:val="32"/>
      <w:szCs w:val="44"/>
    </w:rPr>
  </w:style>
  <w:style w:type="character" w:customStyle="1" w:styleId="38">
    <w:name w:val="标题 2 字符1"/>
    <w:link w:val="5"/>
    <w:qFormat/>
    <w:uiPriority w:val="0"/>
    <w:rPr>
      <w:b/>
      <w:bCs/>
      <w:kern w:val="2"/>
      <w:sz w:val="30"/>
      <w:szCs w:val="32"/>
    </w:rPr>
  </w:style>
  <w:style w:type="character" w:customStyle="1" w:styleId="39">
    <w:name w:val="批注文字 字符"/>
    <w:basedOn w:val="21"/>
    <w:link w:val="10"/>
    <w:semiHidden/>
    <w:qFormat/>
    <w:uiPriority w:val="0"/>
    <w:rPr>
      <w:kern w:val="2"/>
      <w:sz w:val="21"/>
      <w:szCs w:val="24"/>
    </w:rPr>
  </w:style>
  <w:style w:type="character" w:customStyle="1" w:styleId="40">
    <w:name w:val="批注主题 字符"/>
    <w:basedOn w:val="39"/>
    <w:link w:val="18"/>
    <w:semiHidden/>
    <w:qFormat/>
    <w:uiPriority w:val="0"/>
    <w:rPr>
      <w:b/>
      <w:bCs/>
      <w:kern w:val="2"/>
      <w:sz w:val="21"/>
      <w:szCs w:val="24"/>
    </w:rPr>
  </w:style>
  <w:style w:type="character" w:customStyle="1" w:styleId="41">
    <w:name w:val="正文文本缩进 2 字符"/>
    <w:basedOn w:val="21"/>
    <w:semiHidden/>
    <w:qFormat/>
    <w:uiPriority w:val="0"/>
    <w:rPr>
      <w:kern w:val="2"/>
      <w:sz w:val="21"/>
      <w:szCs w:val="24"/>
    </w:rPr>
  </w:style>
  <w:style w:type="character" w:customStyle="1" w:styleId="42">
    <w:name w:val="正文文本缩进 2 字符1"/>
    <w:link w:val="12"/>
    <w:qFormat/>
    <w:uiPriority w:val="0"/>
    <w:rPr>
      <w:kern w:val="2"/>
      <w:sz w:val="36"/>
    </w:rPr>
  </w:style>
  <w:style w:type="paragraph" w:customStyle="1" w:styleId="43">
    <w:name w:val="大表"/>
    <w:link w:val="44"/>
    <w:qFormat/>
    <w:uiPriority w:val="0"/>
    <w:pPr>
      <w:snapToGrid w:val="0"/>
      <w:jc w:val="center"/>
    </w:pPr>
    <w:rPr>
      <w:rFonts w:ascii="Times New Roman" w:hAnsi="宋体" w:eastAsia="Times New Roman" w:cs="Times New Roman"/>
      <w:bCs/>
      <w:kern w:val="28"/>
      <w:sz w:val="24"/>
      <w:szCs w:val="24"/>
      <w:lang w:val="en-US" w:eastAsia="zh-CN" w:bidi="ar-SA"/>
    </w:rPr>
  </w:style>
  <w:style w:type="character" w:customStyle="1" w:styleId="44">
    <w:name w:val="大表 Char"/>
    <w:link w:val="43"/>
    <w:qFormat/>
    <w:uiPriority w:val="0"/>
    <w:rPr>
      <w:rFonts w:hAnsi="宋体" w:eastAsia="Times New Roman"/>
      <w:bCs/>
      <w:kern w:val="28"/>
      <w:sz w:val="24"/>
      <w:szCs w:val="24"/>
    </w:rPr>
  </w:style>
  <w:style w:type="paragraph" w:customStyle="1" w:styleId="45">
    <w:name w:val="样式 文本正文 + 首行缩进:  2 字符"/>
    <w:basedOn w:val="1"/>
    <w:qFormat/>
    <w:uiPriority w:val="0"/>
    <w:pPr>
      <w:adjustRightInd w:val="0"/>
      <w:snapToGrid w:val="0"/>
      <w:ind w:firstLine="480"/>
    </w:pPr>
    <w:rPr>
      <w:rFonts w:ascii="宋体" w:hAnsi="宋体" w:cs="宋体"/>
      <w:color w:val="0000FF"/>
      <w:kern w:val="0"/>
      <w:szCs w:val="20"/>
      <w:lang w:val="zh-CN"/>
    </w:rPr>
  </w:style>
  <w:style w:type="character" w:customStyle="1" w:styleId="46">
    <w:name w:val="正文文本 2 字符"/>
    <w:basedOn w:val="21"/>
    <w:semiHidden/>
    <w:qFormat/>
    <w:uiPriority w:val="0"/>
    <w:rPr>
      <w:kern w:val="2"/>
      <w:sz w:val="21"/>
      <w:szCs w:val="24"/>
    </w:rPr>
  </w:style>
  <w:style w:type="character" w:customStyle="1" w:styleId="47">
    <w:name w:val="正文文本 2 字符1"/>
    <w:link w:val="17"/>
    <w:qFormat/>
    <w:uiPriority w:val="0"/>
    <w:rPr>
      <w:kern w:val="2"/>
      <w:sz w:val="24"/>
      <w:szCs w:val="24"/>
    </w:rPr>
  </w:style>
  <w:style w:type="character" w:customStyle="1" w:styleId="48">
    <w:name w:val="正文文本缩进 3 字符"/>
    <w:basedOn w:val="21"/>
    <w:semiHidden/>
    <w:qFormat/>
    <w:uiPriority w:val="0"/>
    <w:rPr>
      <w:kern w:val="2"/>
      <w:sz w:val="16"/>
      <w:szCs w:val="16"/>
    </w:rPr>
  </w:style>
  <w:style w:type="character" w:customStyle="1" w:styleId="49">
    <w:name w:val="正文文本缩进 3 字符1"/>
    <w:link w:val="16"/>
    <w:qFormat/>
    <w:uiPriority w:val="0"/>
    <w:rPr>
      <w:kern w:val="2"/>
      <w:sz w:val="16"/>
      <w:szCs w:val="16"/>
    </w:rPr>
  </w:style>
  <w:style w:type="character" w:customStyle="1" w:styleId="50">
    <w:name w:val="表格标题 字符"/>
    <w:link w:val="51"/>
    <w:qFormat/>
    <w:uiPriority w:val="0"/>
    <w:rPr>
      <w:rFonts w:cs="宋体"/>
      <w:b/>
      <w:sz w:val="24"/>
    </w:rPr>
  </w:style>
  <w:style w:type="paragraph" w:customStyle="1" w:styleId="51">
    <w:name w:val="表格标题"/>
    <w:basedOn w:val="1"/>
    <w:link w:val="50"/>
    <w:qFormat/>
    <w:uiPriority w:val="0"/>
    <w:pPr>
      <w:widowControl/>
      <w:spacing w:beforeLines="60"/>
      <w:jc w:val="center"/>
    </w:pPr>
    <w:rPr>
      <w:rFonts w:cs="宋体"/>
      <w:b/>
      <w:kern w:val="0"/>
      <w:szCs w:val="20"/>
    </w:rPr>
  </w:style>
  <w:style w:type="paragraph" w:customStyle="1" w:styleId="52">
    <w:name w:val="引用1"/>
    <w:basedOn w:val="1"/>
    <w:next w:val="1"/>
    <w:link w:val="54"/>
    <w:qFormat/>
    <w:uiPriority w:val="29"/>
    <w:pPr>
      <w:spacing w:line="240" w:lineRule="atLeast"/>
      <w:jc w:val="center"/>
    </w:pPr>
    <w:rPr>
      <w:iCs/>
      <w:color w:val="000000"/>
    </w:rPr>
  </w:style>
  <w:style w:type="character" w:customStyle="1" w:styleId="53">
    <w:name w:val="引用 字符"/>
    <w:basedOn w:val="21"/>
    <w:qFormat/>
    <w:uiPriority w:val="29"/>
    <w:rPr>
      <w:i/>
      <w:iCs/>
      <w:color w:val="3F3F3F" w:themeColor="text1" w:themeTint="BF"/>
      <w:kern w:val="2"/>
      <w:sz w:val="21"/>
      <w:szCs w:val="24"/>
    </w:rPr>
  </w:style>
  <w:style w:type="character" w:customStyle="1" w:styleId="54">
    <w:name w:val="引用 字符1"/>
    <w:link w:val="52"/>
    <w:qFormat/>
    <w:uiPriority w:val="29"/>
    <w:rPr>
      <w:iCs/>
      <w:color w:val="000000"/>
      <w:kern w:val="2"/>
      <w:sz w:val="24"/>
      <w:szCs w:val="24"/>
    </w:rPr>
  </w:style>
  <w:style w:type="paragraph" w:customStyle="1" w:styleId="55">
    <w:name w:val="表格正文"/>
    <w:link w:val="57"/>
    <w:qFormat/>
    <w:uiPriority w:val="1"/>
    <w:pPr>
      <w:keepLines/>
      <w:adjustRightInd w:val="0"/>
      <w:snapToGrid w:val="0"/>
      <w:jc w:val="center"/>
    </w:pPr>
    <w:rPr>
      <w:rFonts w:ascii="Times New Roman" w:hAnsi="Times New Roman" w:eastAsia="宋体" w:cs="Times New Roman"/>
      <w:bCs/>
      <w:kern w:val="24"/>
      <w:sz w:val="21"/>
      <w:szCs w:val="18"/>
      <w:lang w:val="en-US" w:eastAsia="zh-CN" w:bidi="ar-SA"/>
    </w:rPr>
  </w:style>
  <w:style w:type="paragraph" w:customStyle="1" w:styleId="56">
    <w:name w:val="样式1"/>
    <w:basedOn w:val="1"/>
    <w:link w:val="58"/>
    <w:qFormat/>
    <w:uiPriority w:val="0"/>
    <w:pPr>
      <w:spacing w:line="336" w:lineRule="auto"/>
      <w:ind w:firstLine="480"/>
    </w:pPr>
    <w:rPr>
      <w:color w:val="FF0000"/>
    </w:rPr>
  </w:style>
  <w:style w:type="character" w:customStyle="1" w:styleId="57">
    <w:name w:val="表格正文 Char"/>
    <w:link w:val="55"/>
    <w:qFormat/>
    <w:uiPriority w:val="1"/>
    <w:rPr>
      <w:bCs/>
      <w:kern w:val="24"/>
      <w:sz w:val="21"/>
      <w:szCs w:val="18"/>
    </w:rPr>
  </w:style>
  <w:style w:type="character" w:customStyle="1" w:styleId="58">
    <w:name w:val="样式1 字符"/>
    <w:basedOn w:val="21"/>
    <w:link w:val="56"/>
    <w:qFormat/>
    <w:uiPriority w:val="0"/>
    <w:rPr>
      <w:color w:val="FF0000"/>
      <w:kern w:val="2"/>
      <w:sz w:val="24"/>
      <w:szCs w:val="24"/>
    </w:rPr>
  </w:style>
  <w:style w:type="character" w:customStyle="1" w:styleId="59">
    <w:name w:val="标题 5 字符"/>
    <w:basedOn w:val="21"/>
    <w:link w:val="8"/>
    <w:semiHidden/>
    <w:qFormat/>
    <w:uiPriority w:val="0"/>
    <w:rPr>
      <w:b/>
      <w:bCs/>
      <w:kern w:val="2"/>
      <w:sz w:val="28"/>
      <w:szCs w:val="28"/>
    </w:rPr>
  </w:style>
  <w:style w:type="paragraph" w:customStyle="1" w:styleId="60">
    <w:name w:val="表格正文栏"/>
    <w:basedOn w:val="1"/>
    <w:link w:val="61"/>
    <w:qFormat/>
    <w:uiPriority w:val="0"/>
    <w:pPr>
      <w:widowControl/>
      <w:spacing w:line="240" w:lineRule="auto"/>
      <w:ind w:firstLine="0" w:firstLineChars="0"/>
      <w:jc w:val="center"/>
    </w:pPr>
    <w:rPr>
      <w:color w:val="000000"/>
      <w:kern w:val="0"/>
      <w:sz w:val="21"/>
    </w:rPr>
  </w:style>
  <w:style w:type="character" w:customStyle="1" w:styleId="61">
    <w:name w:val="表格正文栏 Char"/>
    <w:link w:val="60"/>
    <w:qFormat/>
    <w:uiPriority w:val="0"/>
    <w:rPr>
      <w:color w:val="000000"/>
      <w:sz w:val="21"/>
      <w:szCs w:val="24"/>
    </w:rPr>
  </w:style>
  <w:style w:type="paragraph" w:customStyle="1" w:styleId="62">
    <w:name w:val="插图"/>
    <w:basedOn w:val="1"/>
    <w:qFormat/>
    <w:uiPriority w:val="0"/>
    <w:pPr>
      <w:jc w:val="center"/>
    </w:pPr>
    <w:rPr>
      <w:rFonts w:ascii="Calibri" w:hAnsi="Calibri"/>
      <w:szCs w:val="28"/>
    </w:rPr>
  </w:style>
  <w:style w:type="paragraph" w:customStyle="1" w:styleId="63">
    <w:name w:val="图纸标题"/>
    <w:basedOn w:val="1"/>
    <w:qFormat/>
    <w:uiPriority w:val="0"/>
    <w:pPr>
      <w:ind w:firstLine="0" w:firstLineChars="0"/>
      <w:jc w:val="center"/>
    </w:pPr>
  </w:style>
  <w:style w:type="character" w:customStyle="1" w:styleId="64">
    <w:name w:val="批注框文本 Char"/>
    <w:qFormat/>
    <w:uiPriority w:val="0"/>
    <w:rPr>
      <w:rFonts w:ascii="Times New Roman" w:hAnsi="Times New Roman" w:cs="宋体"/>
      <w:sz w:val="18"/>
      <w:szCs w:val="18"/>
    </w:rPr>
  </w:style>
  <w:style w:type="paragraph" w:customStyle="1" w:styleId="65">
    <w:name w:val="刘正文"/>
    <w:basedOn w:val="1"/>
    <w:qFormat/>
    <w:uiPriority w:val="0"/>
    <w:pPr>
      <w:spacing w:line="360" w:lineRule="auto"/>
      <w:ind w:left="0"/>
    </w:pPr>
  </w:style>
  <w:style w:type="paragraph" w:customStyle="1" w:styleId="66">
    <w:name w:val="刘表头"/>
    <w:basedOn w:val="65"/>
    <w:qFormat/>
    <w:uiPriority w:val="0"/>
    <w:pPr>
      <w:ind w:firstLine="0" w:firstLineChars="0"/>
      <w:jc w:val="center"/>
    </w:pPr>
    <w:rPr>
      <w:b/>
    </w:rPr>
  </w:style>
  <w:style w:type="paragraph" w:customStyle="1" w:styleId="67">
    <w:name w:val="刘表格"/>
    <w:basedOn w:val="65"/>
    <w:qFormat/>
    <w:uiPriority w:val="0"/>
    <w:pPr>
      <w:widowControl/>
      <w:adjustRightInd/>
      <w:spacing w:line="240" w:lineRule="auto"/>
      <w:ind w:firstLine="0" w:firstLineChars="0"/>
      <w:jc w:val="center"/>
    </w:pPr>
    <w:rPr>
      <w:rFonts w:hAnsi="宋体"/>
      <w:bCs/>
      <w:kern w:val="28"/>
      <w:sz w:val="21"/>
      <w:szCs w:val="21"/>
    </w:rPr>
  </w:style>
  <w:style w:type="paragraph" w:customStyle="1" w:styleId="68">
    <w:name w:val="表格"/>
    <w:basedOn w:val="1"/>
    <w:qFormat/>
    <w:uiPriority w:val="0"/>
    <w:pPr>
      <w:jc w:val="center"/>
    </w:pPr>
    <w:rPr>
      <w:rFonts w:ascii="宋体"/>
      <w:color w:val="000000"/>
      <w:szCs w:val="21"/>
    </w:rPr>
  </w:style>
  <w:style w:type="paragraph" w:customStyle="1" w:styleId="69">
    <w:name w:val="注"/>
    <w:basedOn w:val="70"/>
    <w:qFormat/>
    <w:uiPriority w:val="0"/>
    <w:pPr>
      <w:ind w:firstLine="200"/>
    </w:pPr>
  </w:style>
  <w:style w:type="paragraph" w:customStyle="1" w:styleId="70">
    <w:name w:val="条文1"/>
    <w:basedOn w:val="1"/>
    <w:qFormat/>
    <w:uiPriority w:val="0"/>
    <w:pPr>
      <w:ind w:firstLine="454"/>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3.emf"/><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BF534-CE83-4A6D-946B-5B7DB5F61D58}">
  <ds:schemaRefs/>
</ds:datastoreItem>
</file>

<file path=docProps/app.xml><?xml version="1.0" encoding="utf-8"?>
<Properties xmlns="http://schemas.openxmlformats.org/officeDocument/2006/extended-properties" xmlns:vt="http://schemas.openxmlformats.org/officeDocument/2006/docPropsVTypes">
  <Template>Normal.dotm</Template>
  <Company>ye</Company>
  <Pages>9</Pages>
  <Words>10765</Words>
  <Characters>12727</Characters>
  <Lines>409</Lines>
  <Paragraphs>115</Paragraphs>
  <TotalTime>3</TotalTime>
  <ScaleCrop>false</ScaleCrop>
  <LinksUpToDate>false</LinksUpToDate>
  <CharactersWithSpaces>12791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2015-08-18T01:05:00Z</dcterms:created>
  <dc:creator>lg</dc:creator>
  <cp:lastModifiedBy>遥远的下雨天</cp:lastModifiedBy>
  <cp:lastPrinted>2020-10-10T01:11:00Z</cp:lastPrinted>
  <dcterms:modified xsi:type="dcterms:W3CDTF">2022-05-22T08:55:48Z</dcterms:modified>
  <dc:title>南水北调东线第一期工程三阳河潼河宝应站工程跨河桥梁</dc:title>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6BF1B86AE2D94DBCB00846BB2963B859</vt:lpwstr>
  </property>
</Properties>
</file>